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12bis</w:t>
      </w:r>
      <w:r>
        <w:rPr>
          <w:rFonts w:hint="eastAsia" w:ascii="Arial" w:hAnsi="Arial" w:cs="Arial"/>
          <w:b/>
          <w:sz w:val="24"/>
          <w:szCs w:val="24"/>
        </w:rPr>
        <w:t xml:space="preserve">                             R4-2416236</w:t>
      </w:r>
      <w:bookmarkStart w:id="276" w:name="_GoBack"/>
      <w:bookmarkEnd w:id="276"/>
      <w:r>
        <w:rPr>
          <w:rFonts w:hint="eastAsia" w:ascii="Arial" w:hAnsi="Arial" w:cs="Arial"/>
          <w:b/>
          <w:sz w:val="24"/>
          <w:szCs w:val="24"/>
        </w:rPr>
        <w:t xml:space="preserve">                         </w:t>
      </w:r>
    </w:p>
    <w:p>
      <w:pPr>
        <w:tabs>
          <w:tab w:val="left" w:pos="1985"/>
        </w:tabs>
        <w:spacing w:after="180"/>
        <w:ind w:left="1980" w:hanging="1980"/>
        <w:rPr>
          <w:rFonts w:hint="eastAsia" w:ascii="Arial" w:hAnsi="Arial" w:cs="Arial"/>
          <w:b/>
          <w:sz w:val="24"/>
          <w:szCs w:val="24"/>
          <w:highlight w:val="none"/>
        </w:rPr>
      </w:pPr>
      <w:r>
        <w:rPr>
          <w:rFonts w:hint="eastAsia" w:ascii="Arial" w:hAnsi="Arial" w:cs="Arial"/>
          <w:b/>
          <w:sz w:val="24"/>
          <w:szCs w:val="24"/>
          <w:lang w:val="en-US" w:eastAsia="zh-CN"/>
        </w:rPr>
        <w:t>Hefei</w:t>
      </w:r>
      <w:r>
        <w:rPr>
          <w:rFonts w:ascii="Arial" w:hAnsi="Arial" w:eastAsia="宋体" w:cs="Arial"/>
          <w:b/>
          <w:sz w:val="24"/>
          <w:szCs w:val="24"/>
          <w:lang w:eastAsia="zh-CN"/>
        </w:rPr>
        <w:t xml:space="preserve">, </w:t>
      </w:r>
      <w:r>
        <w:rPr>
          <w:rFonts w:hint="eastAsia" w:ascii="Arial" w:hAnsi="Arial" w:cs="Arial"/>
          <w:b/>
          <w:sz w:val="24"/>
          <w:szCs w:val="24"/>
          <w:lang w:val="en-US" w:eastAsia="zh-CN"/>
        </w:rPr>
        <w:t>China</w:t>
      </w:r>
      <w:r>
        <w:rPr>
          <w:rFonts w:ascii="Arial" w:hAnsi="Arial" w:eastAsia="宋体" w:cs="Arial"/>
          <w:b/>
          <w:sz w:val="24"/>
          <w:szCs w:val="24"/>
          <w:lang w:eastAsia="zh-CN"/>
        </w:rPr>
        <w:t xml:space="preserve">, </w:t>
      </w:r>
      <w:r>
        <w:rPr>
          <w:rFonts w:hint="eastAsia" w:ascii="Arial" w:hAnsi="Arial" w:cs="Arial"/>
          <w:b/>
          <w:sz w:val="24"/>
          <w:szCs w:val="24"/>
          <w:lang w:val="en-US" w:eastAsia="zh-CN"/>
        </w:rPr>
        <w:t>14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ascii="Arial" w:hAnsi="Arial" w:cs="Arial"/>
          <w:b/>
          <w:sz w:val="24"/>
          <w:szCs w:val="24"/>
          <w:lang w:val="en-US" w:eastAsia="zh-CN"/>
        </w:rPr>
        <w:t>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w:t>
      </w:r>
      <w:r>
        <w:rPr>
          <w:rFonts w:hint="eastAsia" w:ascii="Arial" w:hAnsi="Arial" w:cs="Arial"/>
          <w:b/>
          <w:sz w:val="24"/>
          <w:szCs w:val="24"/>
          <w:lang w:val="en-US" w:eastAsia="zh-CN"/>
        </w:rPr>
        <w:t>Oct, 2024</w:t>
      </w:r>
      <w:r>
        <w:rPr>
          <w:rFonts w:hint="eastAsia" w:ascii="Arial" w:hAnsi="Arial" w:cs="Arial"/>
          <w:b/>
          <w:sz w:val="24"/>
          <w:szCs w:val="24"/>
          <w:highlight w:val="none"/>
        </w:rPr>
        <w:t xml:space="preserve"> </w:t>
      </w:r>
    </w:p>
    <w:p>
      <w:pPr>
        <w:keepNext/>
        <w:keepLines/>
        <w:pageBreakBefore w:val="0"/>
        <w:tabs>
          <w:tab w:val="left" w:pos="1985"/>
        </w:tabs>
        <w:kinsoku/>
        <w:wordWrap/>
        <w:topLinePunct w:val="0"/>
        <w:bidi w:val="0"/>
        <w:snapToGrid/>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6.10.2.2</w:t>
      </w:r>
    </w:p>
    <w:p>
      <w:pPr>
        <w:keepNext/>
        <w:keepLines/>
        <w:pageBreakBefore w:val="0"/>
        <w:tabs>
          <w:tab w:val="left" w:pos="1985"/>
        </w:tabs>
        <w:kinsoku/>
        <w:wordWrap/>
        <w:topLinePunct w:val="0"/>
        <w:bidi w:val="0"/>
        <w:snapToGrid/>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keepNext/>
        <w:keepLines/>
        <w:pageBreakBefore w:val="0"/>
        <w:tabs>
          <w:tab w:val="left" w:pos="1980"/>
        </w:tabs>
        <w:kinsoku/>
        <w:wordWrap/>
        <w:topLinePunct w:val="0"/>
        <w:bidi w:val="0"/>
        <w:snapToGrid/>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 xml:space="preserve">Discussion on RF requirement for Inter-band CA for ATG UE in Rel-19 </w:t>
      </w:r>
      <w:r>
        <w:rPr>
          <w:rFonts w:hint="eastAsia" w:ascii="Arial" w:hAnsi="Arial" w:cs="Arial"/>
          <w:b/>
          <w:sz w:val="24"/>
          <w:szCs w:val="24"/>
          <w:lang w:val="en-US" w:eastAsia="en-US"/>
        </w:rPr>
        <w:t xml:space="preserve"> </w:t>
      </w:r>
    </w:p>
    <w:p>
      <w:pPr>
        <w:keepNext/>
        <w:keepLines/>
        <w:pageBreakBefore w:val="0"/>
        <w:tabs>
          <w:tab w:val="left" w:pos="1980"/>
        </w:tabs>
        <w:kinsoku/>
        <w:wordWrap/>
        <w:topLinePunct w:val="0"/>
        <w:bidi w:val="0"/>
        <w:snapToGrid/>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keepNext/>
        <w:keepLines/>
        <w:pageBreakBefore w:val="0"/>
        <w:tabs>
          <w:tab w:val="left" w:pos="567"/>
          <w:tab w:val="clear" w:pos="1985"/>
        </w:tabs>
        <w:kinsoku/>
        <w:wordWrap/>
        <w:topLinePunct w:val="0"/>
        <w:bidi w:val="0"/>
        <w:adjustRightInd w:val="0"/>
        <w:snapToGrid/>
        <w:ind w:left="510" w:hanging="510"/>
      </w:pPr>
      <w:r>
        <w:t>Introduction</w:t>
      </w:r>
    </w:p>
    <w:p>
      <w:pPr>
        <w:keepNext/>
        <w:keepLines/>
        <w:pageBreakBefore w:val="0"/>
        <w:tabs>
          <w:tab w:val="left" w:pos="2127"/>
        </w:tabs>
        <w:kinsoku/>
        <w:wordWrap/>
        <w:topLinePunct w:val="0"/>
        <w:bidi w:val="0"/>
        <w:snapToGrid/>
        <w:spacing w:after="0"/>
        <w:rPr>
          <w:rFonts w:hint="default"/>
          <w:lang w:val="en-US" w:eastAsia="zh-CN"/>
        </w:rPr>
      </w:pPr>
      <w:r>
        <w:rPr>
          <w:rFonts w:hint="eastAsia"/>
          <w:lang w:val="en-US" w:eastAsia="zh-CN"/>
        </w:rPr>
        <w:t>In the RAN#103 meeting, n</w:t>
      </w:r>
      <w:r>
        <w:rPr>
          <w:rFonts w:hint="eastAsia"/>
          <w:sz w:val="20"/>
          <w:szCs w:val="20"/>
          <w:lang w:val="en-US" w:eastAsia="zh-CN"/>
        </w:rPr>
        <w:t>ew WID on Enhancements for Air-to-ground network for NR</w:t>
      </w:r>
      <w:r>
        <w:rPr>
          <w:rFonts w:hint="eastAsia"/>
          <w:lang w:val="en-US" w:eastAsia="zh-CN"/>
        </w:rPr>
        <w:t xml:space="preserve"> has been approved and it</w:t>
      </w:r>
      <w:r>
        <w:rPr>
          <w:rFonts w:hint="default"/>
          <w:lang w:val="en-US" w:eastAsia="zh-CN"/>
        </w:rPr>
        <w:t>’</w:t>
      </w:r>
      <w:r>
        <w:rPr>
          <w:rFonts w:hint="eastAsia"/>
          <w:lang w:val="en-US" w:eastAsia="zh-CN"/>
        </w:rPr>
        <w:t>s expected to start the normative work from this April meeting. In this contribution, we would like to share some further views on RF requirements for ATG UE supporting inter-band DL CA.</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eastAsia="ko-KR"/>
              </w:rPr>
              <w:t xml:space="preserve">Issue </w:t>
            </w:r>
            <w:r>
              <w:rPr>
                <w:rFonts w:hint="eastAsia"/>
                <w:b/>
                <w:color w:val="0070C0"/>
                <w:u w:val="single"/>
                <w:lang w:val="en-US" w:eastAsia="zh-CN"/>
              </w:rPr>
              <w:t>3-2-1</w:t>
            </w:r>
            <w:r>
              <w:rPr>
                <w:rFonts w:hint="default"/>
                <w:b/>
                <w:color w:val="0070C0"/>
                <w:u w:val="single"/>
                <w:lang w:eastAsia="ko-KR"/>
              </w:rPr>
              <w:t xml:space="preserve">: </w:t>
            </w:r>
            <w:r>
              <w:rPr>
                <w:rFonts w:hint="default"/>
                <w:b/>
                <w:color w:val="0070C0"/>
                <w:u w:val="single"/>
                <w:lang w:val="en-US" w:eastAsia="zh-CN"/>
              </w:rPr>
              <w:t>whether to allow n39 UL for CA_n3A-n39A</w:t>
            </w:r>
          </w:p>
          <w:p>
            <w:pPr>
              <w:keepNext w:val="0"/>
              <w:keepLines w:val="0"/>
              <w:suppressLineNumbers w:val="0"/>
              <w:spacing w:before="0" w:beforeAutospacing="0" w:afterAutospacing="0"/>
              <w:ind w:left="0" w:right="0"/>
              <w:rPr>
                <w:rFonts w:hint="default"/>
                <w:lang w:eastAsia="zh-CN"/>
              </w:rPr>
            </w:pPr>
            <w:r>
              <w:rPr>
                <w:rFonts w:hint="default"/>
                <w:lang w:eastAsia="zh-CN"/>
              </w:rPr>
              <w:t>Agreement:</w:t>
            </w:r>
            <w:r>
              <w:rPr>
                <w:rFonts w:hint="eastAsia"/>
                <w:lang w:eastAsia="zh-CN"/>
              </w:rPr>
              <w:t xml:space="preserve">  </w:t>
            </w:r>
          </w:p>
          <w:p>
            <w:pPr>
              <w:pStyle w:val="36"/>
              <w:keepNext w:val="0"/>
              <w:keepLines w:val="0"/>
              <w:numPr>
                <w:ilvl w:val="0"/>
                <w:numId w:val="2"/>
              </w:numPr>
              <w:suppressLineNumbers w:val="0"/>
              <w:spacing w:before="0" w:beforeAutospacing="0" w:after="120" w:afterAutospacing="0"/>
              <w:ind w:right="0" w:firstLineChars="0"/>
              <w:rPr>
                <w:rFonts w:hint="default"/>
                <w:lang w:eastAsia="zh-CN"/>
              </w:rPr>
            </w:pPr>
            <w:r>
              <w:rPr>
                <w:rFonts w:hint="eastAsia" w:eastAsiaTheme="minorEastAsia"/>
                <w:lang w:eastAsia="zh-CN"/>
              </w:rPr>
              <w:t>W</w:t>
            </w:r>
            <w:r>
              <w:rPr>
                <w:rFonts w:hint="default"/>
                <w:lang w:eastAsia="zh-CN"/>
              </w:rPr>
              <w:t>hether to allow n39 UL for CA_n3A-n39A</w:t>
            </w:r>
            <w:r>
              <w:rPr>
                <w:rFonts w:hint="eastAsia" w:eastAsiaTheme="minorEastAsia"/>
                <w:lang w:eastAsia="zh-CN"/>
              </w:rPr>
              <w:t xml:space="preserve"> depend on companies</w:t>
            </w:r>
            <w:r>
              <w:rPr>
                <w:rFonts w:hint="default" w:eastAsiaTheme="minorEastAsia"/>
                <w:lang w:eastAsia="zh-CN"/>
              </w:rPr>
              <w:t>’</w:t>
            </w:r>
            <w:r>
              <w:rPr>
                <w:rFonts w:hint="eastAsia" w:eastAsiaTheme="minorEastAsia"/>
                <w:lang w:eastAsia="zh-CN"/>
              </w:rPr>
              <w:t xml:space="preserve"> input.</w:t>
            </w:r>
          </w:p>
          <w:p>
            <w:pPr>
              <w:pStyle w:val="36"/>
              <w:keepNext w:val="0"/>
              <w:keepLines w:val="0"/>
              <w:numPr>
                <w:ilvl w:val="1"/>
                <w:numId w:val="2"/>
              </w:numPr>
              <w:suppressLineNumbers w:val="0"/>
              <w:spacing w:before="0" w:beforeAutospacing="0" w:after="120" w:afterAutospacing="0"/>
              <w:ind w:right="0" w:firstLineChars="0"/>
              <w:rPr>
                <w:rFonts w:hint="default"/>
                <w:lang w:eastAsia="zh-CN"/>
              </w:rPr>
            </w:pPr>
            <w:r>
              <w:rPr>
                <w:rFonts w:hint="eastAsia" w:eastAsiaTheme="minorEastAsia"/>
                <w:lang w:eastAsia="zh-CN"/>
              </w:rPr>
              <w:t>The filter with [X] MHz frequency gap can be considered.</w:t>
            </w:r>
          </w:p>
          <w:p>
            <w:pPr>
              <w:keepNext w:val="0"/>
              <w:keepLines w:val="0"/>
              <w:suppressLineNumbers w:val="0"/>
              <w:spacing w:before="0" w:beforeAutospacing="0" w:afterAutospacing="0"/>
              <w:ind w:left="0" w:right="0"/>
              <w:rPr>
                <w:rFonts w:hint="default" w:eastAsiaTheme="minorEastAsia"/>
                <w:b/>
                <w:color w:val="0070C0"/>
                <w:u w:val="single"/>
                <w:lang w:eastAsia="zh-CN"/>
              </w:rPr>
            </w:pPr>
          </w:p>
          <w:p>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eastAsia="ko-KR"/>
              </w:rPr>
              <w:t xml:space="preserve">Issue </w:t>
            </w:r>
            <w:r>
              <w:rPr>
                <w:rFonts w:hint="eastAsia"/>
                <w:b/>
                <w:color w:val="0070C0"/>
                <w:u w:val="single"/>
                <w:lang w:val="en-US" w:eastAsia="zh-CN"/>
              </w:rPr>
              <w:t>3-2-2</w:t>
            </w:r>
            <w:r>
              <w:rPr>
                <w:rFonts w:hint="default"/>
                <w:b/>
                <w:color w:val="0070C0"/>
                <w:u w:val="single"/>
                <w:lang w:eastAsia="ko-KR"/>
              </w:rPr>
              <w:t xml:space="preserve">: </w:t>
            </w:r>
            <w:r>
              <w:rPr>
                <w:rFonts w:hint="default"/>
                <w:b/>
                <w:color w:val="0070C0"/>
                <w:u w:val="single"/>
                <w:lang w:val="en-US" w:eastAsia="zh-CN"/>
              </w:rPr>
              <w:t>BCS for DL CA_n3_n39</w:t>
            </w:r>
          </w:p>
          <w:p>
            <w:pPr>
              <w:keepNext w:val="0"/>
              <w:keepLines w:val="0"/>
              <w:suppressLineNumbers w:val="0"/>
              <w:spacing w:before="0" w:beforeAutospacing="0" w:afterAutospacing="0"/>
              <w:ind w:left="0" w:right="0"/>
              <w:rPr>
                <w:rFonts w:hint="default"/>
                <w:lang w:eastAsia="zh-CN"/>
              </w:rPr>
            </w:pPr>
            <w:r>
              <w:rPr>
                <w:rFonts w:hint="eastAsia"/>
                <w:lang w:eastAsia="zh-CN"/>
              </w:rPr>
              <w:t>A</w:t>
            </w:r>
            <w:r>
              <w:rPr>
                <w:rFonts w:hint="default"/>
                <w:lang w:eastAsia="zh-CN"/>
              </w:rPr>
              <w:t>greement:</w:t>
            </w:r>
          </w:p>
          <w:p>
            <w:pPr>
              <w:pStyle w:val="36"/>
              <w:keepNext/>
              <w:keepLines/>
              <w:numPr>
                <w:ilvl w:val="0"/>
                <w:numId w:val="2"/>
              </w:numPr>
              <w:suppressLineNumbers w:val="0"/>
              <w:spacing w:before="60" w:beforeAutospacing="0" w:afterAutospacing="0"/>
              <w:ind w:right="0" w:firstLineChars="0"/>
              <w:jc w:val="center"/>
              <w:rPr>
                <w:rFonts w:hint="default"/>
                <w:b/>
              </w:rPr>
            </w:pPr>
            <w:r>
              <w:rPr>
                <w:rFonts w:hint="default"/>
                <w:b/>
              </w:rPr>
              <w:t>Table 1: BCS for CA_n3A-n39A</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8"/>
              <w:gridCol w:w="1685"/>
              <w:gridCol w:w="741"/>
              <w:gridCol w:w="3984"/>
              <w:gridCol w:w="1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Times New Roman"/>
                      <w:b/>
                    </w:rPr>
                  </w:pPr>
                  <w:r>
                    <w:rPr>
                      <w:rFonts w:hint="default" w:ascii="Arial" w:hAnsi="Arial" w:eastAsia="Times New Roman"/>
                      <w:b/>
                      <w:lang w:eastAsia="ja-JP"/>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Times New Roman"/>
                      <w:b/>
                    </w:rPr>
                  </w:pPr>
                  <w:r>
                    <w:rPr>
                      <w:rFonts w:hint="default" w:ascii="Arial" w:hAnsi="Arial" w:eastAsia="Times New Roman"/>
                      <w:b/>
                      <w:lang w:eastAsia="ja-JP"/>
                    </w:rPr>
                    <w:t>Uplink CA configuration</w:t>
                  </w:r>
                  <w:r>
                    <w:rPr>
                      <w:rFonts w:hint="eastAsia" w:ascii="Arial" w:hAnsi="Arial" w:eastAsia="Times New Roman"/>
                      <w:b/>
                    </w:rPr>
                    <w:t xml:space="preserve"> </w:t>
                  </w:r>
                  <w:r>
                    <w:rPr>
                      <w:rFonts w:hint="default" w:ascii="Arial" w:hAnsi="Arial" w:eastAsia="Times New Roman"/>
                      <w:b/>
                      <w:lang w:eastAsia="ja-JP"/>
                    </w:rPr>
                    <w:t>or single uplink carrier</w:t>
                  </w:r>
                </w:p>
              </w:tc>
              <w:tc>
                <w:tcPr>
                  <w:tcW w:w="730" w:type="dxa"/>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Times New Roman"/>
                      <w:b/>
                    </w:rPr>
                  </w:pPr>
                  <w:r>
                    <w:rPr>
                      <w:rFonts w:hint="default" w:ascii="Arial" w:hAnsi="Arial" w:eastAsia="Times New Roman"/>
                      <w:b/>
                      <w:lang w:eastAsia="ja-JP"/>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Times New Roman" w:cs="Arial"/>
                      <w:b/>
                      <w:lang w:bidi="ar"/>
                    </w:rPr>
                  </w:pPr>
                  <w:r>
                    <w:rPr>
                      <w:rFonts w:hint="eastAsia" w:ascii="Arial" w:hAnsi="Arial" w:eastAsia="Times New Roman"/>
                      <w:b/>
                    </w:rPr>
                    <w:t>C</w:t>
                  </w:r>
                  <w:r>
                    <w:rPr>
                      <w:rFonts w:hint="default" w:ascii="Arial" w:hAnsi="Arial" w:eastAsia="Times New Roman"/>
                      <w:b/>
                    </w:rPr>
                    <w:t xml:space="preserve">hannel bandwidth </w:t>
                  </w:r>
                  <w:r>
                    <w:rPr>
                      <w:rFonts w:hint="eastAsia" w:ascii="Arial" w:hAnsi="Arial" w:eastAsia="Times New Roman"/>
                      <w:b/>
                    </w:rPr>
                    <w:t>(</w:t>
                  </w:r>
                  <w:r>
                    <w:rPr>
                      <w:rFonts w:hint="default" w:ascii="Arial" w:hAnsi="Arial" w:eastAsia="Times New Roman"/>
                      <w:b/>
                    </w:rPr>
                    <w:t>MHz)</w:t>
                  </w:r>
                </w:p>
              </w:tc>
              <w:tc>
                <w:tcPr>
                  <w:tcW w:w="1360" w:type="dxa"/>
                  <w:tcBorders>
                    <w:left w:val="single" w:color="auto" w:sz="4" w:space="0"/>
                    <w:bottom w:val="nil"/>
                    <w:right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Times New Roman"/>
                      <w:b/>
                    </w:rPr>
                  </w:pPr>
                  <w:r>
                    <w:rPr>
                      <w:rFonts w:hint="default" w:ascii="Arial" w:hAnsi="Arial" w:eastAsia="Times New Roman"/>
                      <w:b/>
                      <w:lang w:eastAsia="ja-JP"/>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Times New Roman"/>
                    </w:rPr>
                  </w:pPr>
                  <w:r>
                    <w:rPr>
                      <w:rFonts w:hint="eastAsia" w:ascii="Arial" w:hAnsi="Arial" w:eastAsia="Times New Roman"/>
                    </w:rPr>
                    <w:t>CA</w:t>
                  </w:r>
                  <w:r>
                    <w:rPr>
                      <w:rFonts w:hint="default" w:ascii="Arial" w:hAnsi="Arial" w:eastAsia="Times New Roman"/>
                      <w:lang w:eastAsia="ja-JP"/>
                    </w:rPr>
                    <w:t>_</w:t>
                  </w:r>
                  <w:r>
                    <w:rPr>
                      <w:rFonts w:hint="eastAsia" w:ascii="Arial" w:hAnsi="Arial" w:eastAsia="Times New Roman"/>
                    </w:rPr>
                    <w:t>n</w:t>
                  </w:r>
                  <w:r>
                    <w:rPr>
                      <w:rFonts w:hint="default" w:ascii="Arial" w:hAnsi="Arial" w:eastAsia="Times New Roman"/>
                    </w:rPr>
                    <w:t>3</w:t>
                  </w:r>
                  <w:r>
                    <w:rPr>
                      <w:rFonts w:hint="default" w:ascii="Arial" w:hAnsi="Arial" w:eastAsia="Times New Roman"/>
                      <w:lang w:val="sv-SE" w:eastAsia="ja-JP"/>
                    </w:rPr>
                    <w:t>A-</w:t>
                  </w:r>
                  <w:r>
                    <w:rPr>
                      <w:rFonts w:hint="eastAsia" w:ascii="Arial" w:hAnsi="Arial" w:eastAsia="Times New Roman"/>
                    </w:rPr>
                    <w:t>n</w:t>
                  </w:r>
                  <w:r>
                    <w:rPr>
                      <w:rFonts w:hint="default" w:ascii="Arial" w:hAnsi="Arial" w:eastAsia="Times New Roman"/>
                    </w:rPr>
                    <w:t>39</w:t>
                  </w:r>
                  <w:r>
                    <w:rPr>
                      <w:rFonts w:hint="default" w:ascii="Arial" w:hAnsi="Arial" w:eastAsia="Times New Roman"/>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Theme="minorEastAsia"/>
                    </w:rPr>
                  </w:pPr>
                  <w:r>
                    <w:rPr>
                      <w:rFonts w:hint="eastAsia" w:ascii="Arial" w:hAnsi="Arial" w:eastAsiaTheme="minorEastAsia"/>
                    </w:rPr>
                    <w:t>-</w:t>
                  </w:r>
                </w:p>
              </w:tc>
              <w:tc>
                <w:tcPr>
                  <w:tcW w:w="730" w:type="dxa"/>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Times New Roman"/>
                    </w:rPr>
                  </w:pPr>
                  <w:r>
                    <w:rPr>
                      <w:rFonts w:hint="default" w:ascii="Arial" w:hAnsi="Arial" w:eastAsia="Times New Roma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Autospacing="0"/>
                    <w:ind w:left="0" w:right="0"/>
                    <w:jc w:val="center"/>
                    <w:textAlignment w:val="bottom"/>
                    <w:rPr>
                      <w:rFonts w:hint="default"/>
                    </w:rPr>
                  </w:pPr>
                  <w:r>
                    <w:rPr>
                      <w:rFonts w:hint="default" w:ascii="Arial" w:hAnsi="Arial" w:cs="Arial"/>
                      <w:lang w:bidi="ar"/>
                    </w:rPr>
                    <w:t>5, 10, 15, 20, 25, 30</w:t>
                  </w:r>
                </w:p>
              </w:tc>
              <w:tc>
                <w:tcPr>
                  <w:tcW w:w="1360" w:type="dxa"/>
                  <w:tcBorders>
                    <w:left w:val="single" w:color="auto" w:sz="4" w:space="0"/>
                    <w:bottom w:val="nil"/>
                    <w:right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Times New Roman"/>
                    </w:rPr>
                  </w:pPr>
                  <w:r>
                    <w:rPr>
                      <w:rFonts w:hint="eastAsia" w:ascii="Arial" w:hAnsi="Arial" w:eastAsia="Times New Roma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Times New Roma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Times New Roman"/>
                    </w:rPr>
                  </w:pPr>
                </w:p>
              </w:tc>
              <w:tc>
                <w:tcPr>
                  <w:tcW w:w="730" w:type="dxa"/>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Times New Roman"/>
                    </w:rPr>
                  </w:pPr>
                  <w:r>
                    <w:rPr>
                      <w:rFonts w:hint="default" w:ascii="Arial" w:hAnsi="Arial" w:eastAsia="Times New Roman"/>
                    </w:rPr>
                    <w:t>n39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Autospacing="0"/>
                    <w:ind w:left="0" w:right="0"/>
                    <w:jc w:val="center"/>
                    <w:textAlignment w:val="bottom"/>
                    <w:rPr>
                      <w:rFonts w:hint="default"/>
                    </w:rPr>
                  </w:pPr>
                  <w:r>
                    <w:rPr>
                      <w:rFonts w:hint="default" w:ascii="Arial" w:hAnsi="Arial" w:cs="Arial"/>
                      <w:lang w:bidi="ar"/>
                    </w:rPr>
                    <w:t>5, 10, 15, 20, 25, 30, 35, 40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Times New Roman"/>
                    </w:rPr>
                  </w:pPr>
                </w:p>
              </w:tc>
            </w:tr>
          </w:tbl>
          <w:p>
            <w:pPr>
              <w:keepNext w:val="0"/>
              <w:keepLines w:val="0"/>
              <w:suppressLineNumbers w:val="0"/>
              <w:spacing w:before="0" w:beforeAutospacing="0" w:after="120" w:afterAutospacing="0"/>
              <w:ind w:left="0" w:right="0"/>
              <w:rPr>
                <w:rFonts w:hint="default"/>
                <w:lang w:eastAsia="zh-CN"/>
              </w:rPr>
            </w:pPr>
          </w:p>
          <w:p>
            <w:pPr>
              <w:pStyle w:val="3"/>
              <w:suppressLineNumbers w:val="0"/>
              <w:spacing w:beforeAutospacing="0" w:afterAutospacing="0"/>
              <w:ind w:left="576" w:right="0"/>
              <w:rPr>
                <w:rFonts w:hint="default"/>
              </w:rPr>
            </w:pPr>
            <w:bookmarkStart w:id="1" w:name="_Hlk175211133"/>
            <w:r>
              <w:rPr>
                <w:rFonts w:hint="default"/>
              </w:rPr>
              <w:t>Rx requirement for inter-band CA_n3A-n39A</w:t>
            </w:r>
          </w:p>
          <w:bookmarkEnd w:id="1"/>
          <w:p>
            <w:pPr>
              <w:keepNext w:val="0"/>
              <w:keepLines w:val="0"/>
              <w:suppressLineNumbers w:val="0"/>
              <w:spacing w:before="0" w:beforeAutospacing="0" w:afterAutospacing="0"/>
              <w:ind w:left="0" w:right="0"/>
              <w:rPr>
                <w:rFonts w:hint="default"/>
                <w:b/>
                <w:color w:val="0070C0"/>
                <w:u w:val="single"/>
                <w:lang w:val="en-US" w:eastAsia="zh-CN"/>
              </w:rPr>
            </w:pPr>
            <w:r>
              <w:rPr>
                <w:rFonts w:hint="eastAsia"/>
                <w:b/>
                <w:color w:val="0070C0"/>
                <w:u w:val="single"/>
                <w:lang w:eastAsia="zh-CN"/>
              </w:rPr>
              <w:t>Issue 3-4-1:</w:t>
            </w:r>
            <w:r>
              <w:rPr>
                <w:rFonts w:hint="default"/>
                <w:b/>
                <w:color w:val="0070C0"/>
                <w:u w:val="single"/>
                <w:lang w:eastAsia="zh-CN"/>
              </w:rPr>
              <w:t xml:space="preserve"> delta RIB for NR CA_n3A-n39A could be used as the baseline</w:t>
            </w:r>
          </w:p>
          <w:p>
            <w:pPr>
              <w:keepNext w:val="0"/>
              <w:keepLines w:val="0"/>
              <w:suppressLineNumbers w:val="0"/>
              <w:spacing w:before="0" w:beforeAutospacing="0" w:after="120" w:afterAutospacing="0"/>
              <w:ind w:left="0" w:right="0"/>
              <w:rPr>
                <w:rFonts w:hint="default"/>
                <w:szCs w:val="24"/>
                <w:lang w:eastAsia="zh-CN"/>
              </w:rPr>
            </w:pPr>
            <w:r>
              <w:rPr>
                <w:rFonts w:hint="eastAsia"/>
                <w:szCs w:val="24"/>
                <w:lang w:eastAsia="zh-CN"/>
              </w:rPr>
              <w:t>Agreement:</w:t>
            </w:r>
          </w:p>
          <w:p>
            <w:pPr>
              <w:pStyle w:val="47"/>
              <w:suppressLineNumbers w:val="0"/>
              <w:spacing w:beforeAutospacing="0" w:afterAutospacing="0"/>
              <w:ind w:left="360" w:right="0"/>
              <w:rPr>
                <w:rFonts w:hint="default" w:cs="Arial"/>
              </w:rPr>
            </w:pPr>
            <w:r>
              <w:rPr>
                <w:rFonts w:hint="default" w:cs="Arial"/>
              </w:rPr>
              <w:t xml:space="preserve">Table </w:t>
            </w:r>
            <w:r>
              <w:rPr>
                <w:rFonts w:hint="eastAsia" w:cs="Arial"/>
              </w:rPr>
              <w:t>3</w:t>
            </w:r>
            <w:r>
              <w:rPr>
                <w:rFonts w:hint="default" w:cs="Arial"/>
              </w:rPr>
              <w:t>: ΔR</w:t>
            </w:r>
            <w:r>
              <w:rPr>
                <w:rFonts w:hint="default" w:cs="Arial"/>
                <w:vertAlign w:val="subscript"/>
              </w:rPr>
              <w:t>IB,c</w:t>
            </w:r>
          </w:p>
          <w:tbl>
            <w:tblPr>
              <w:tblStyle w:val="25"/>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37"/>
                    <w:suppressLineNumbers w:val="0"/>
                    <w:spacing w:before="0" w:beforeAutospacing="0" w:afterAutospacing="0"/>
                    <w:ind w:left="0" w:right="0"/>
                    <w:rPr>
                      <w:rFonts w:hint="default"/>
                    </w:rPr>
                  </w:pPr>
                  <w:r>
                    <w:rPr>
                      <w:rFonts w:hint="default"/>
                    </w:rPr>
                    <w:t>Inter-band CA combination</w:t>
                  </w:r>
                </w:p>
              </w:tc>
              <w:tc>
                <w:tcPr>
                  <w:tcW w:w="5904" w:type="dxa"/>
                  <w:gridSpan w:val="2"/>
                </w:tcPr>
                <w:p>
                  <w:pPr>
                    <w:pStyle w:val="37"/>
                    <w:suppressLineNumbers w:val="0"/>
                    <w:spacing w:before="0" w:beforeAutospacing="0" w:afterAutospacing="0"/>
                    <w:ind w:left="0" w:right="0"/>
                    <w:rPr>
                      <w:rFonts w:hint="default"/>
                      <w:lang w:val="en-US"/>
                    </w:rPr>
                  </w:pPr>
                  <w:r>
                    <w:rPr>
                      <w:rFonts w:hint="default"/>
                    </w:rPr>
                    <w:t>Δ</w:t>
                  </w:r>
                  <w:r>
                    <w:rPr>
                      <w:rFonts w:hint="default"/>
                      <w:lang w:val="en-US"/>
                    </w:rPr>
                    <w:t>R</w:t>
                  </w:r>
                  <w:r>
                    <w:rPr>
                      <w:rFonts w:hint="default"/>
                      <w:vertAlign w:val="subscript"/>
                      <w:lang w:val="en-US"/>
                    </w:rPr>
                    <w:t>IB,c</w:t>
                  </w:r>
                  <w:r>
                    <w:rPr>
                      <w:rFonts w:hint="default"/>
                      <w:lang w:val="en-US"/>
                    </w:rPr>
                    <w:t xml:space="preserve"> for NR band</w:t>
                  </w:r>
                  <w:r>
                    <w:rPr>
                      <w:rFonts w:hint="eastAsia"/>
                      <w:lang w:val="en-US" w:eastAsia="zh-CN"/>
                    </w:rPr>
                    <w:t>s</w:t>
                  </w:r>
                  <w:r>
                    <w:rPr>
                      <w:rFonts w:hint="default"/>
                      <w:lang w:val="en-US"/>
                    </w:rPr>
                    <w:t xml:space="preserve"> (dB)</w:t>
                  </w:r>
                  <w:r>
                    <w:rPr>
                      <w:rFonts w:hint="default"/>
                      <w:vertAlign w:val="superscript"/>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37"/>
                    <w:suppressLineNumbers w:val="0"/>
                    <w:spacing w:before="0" w:beforeAutospacing="0" w:afterAutospacing="0"/>
                    <w:ind w:left="0" w:right="0"/>
                    <w:rPr>
                      <w:rFonts w:hint="default"/>
                      <w:lang w:val="en-US"/>
                    </w:rPr>
                  </w:pPr>
                </w:p>
              </w:tc>
              <w:tc>
                <w:tcPr>
                  <w:tcW w:w="5904" w:type="dxa"/>
                  <w:gridSpan w:val="2"/>
                </w:tcPr>
                <w:p>
                  <w:pPr>
                    <w:pStyle w:val="37"/>
                    <w:suppressLineNumbers w:val="0"/>
                    <w:spacing w:before="0" w:beforeAutospacing="0" w:afterAutospacing="0"/>
                    <w:ind w:left="0" w:right="0"/>
                    <w:rPr>
                      <w:rFonts w:hint="default"/>
                      <w:lang w:val="en-US"/>
                    </w:rPr>
                  </w:pPr>
                  <w:r>
                    <w:rPr>
                      <w:rFonts w:hint="eastAsia"/>
                      <w:lang w:val="en-US"/>
                    </w:rPr>
                    <w:t>C</w:t>
                  </w:r>
                  <w:r>
                    <w:rPr>
                      <w:rFonts w:hint="default"/>
                      <w:lang w:val="en-US"/>
                    </w:rPr>
                    <w:t>omponent band in order of bands in configuration</w:t>
                  </w:r>
                  <w:r>
                    <w:rPr>
                      <w:rFonts w:hint="default"/>
                      <w:vertAlign w:val="superscript"/>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38"/>
                    <w:suppressLineNumbers w:val="0"/>
                    <w:spacing w:before="0" w:beforeAutospacing="0" w:afterAutospacing="0"/>
                    <w:ind w:left="0" w:right="0"/>
                    <w:rPr>
                      <w:rFonts w:hint="default"/>
                    </w:rPr>
                  </w:pPr>
                  <w:r>
                    <w:rPr>
                      <w:rFonts w:hint="default"/>
                      <w:lang w:val="en-US" w:eastAsia="zh-CN"/>
                    </w:rPr>
                    <w:t>CA_n3-n39</w:t>
                  </w:r>
                </w:p>
              </w:tc>
              <w:tc>
                <w:tcPr>
                  <w:tcW w:w="2952" w:type="dxa"/>
                </w:tcPr>
                <w:p>
                  <w:pPr>
                    <w:pStyle w:val="38"/>
                    <w:suppressLineNumbers w:val="0"/>
                    <w:spacing w:before="0" w:beforeAutospacing="0" w:afterAutospacing="0"/>
                    <w:ind w:left="0" w:right="0"/>
                    <w:rPr>
                      <w:rFonts w:hint="default"/>
                      <w:lang w:eastAsia="zh-CN"/>
                    </w:rPr>
                  </w:pPr>
                  <w:r>
                    <w:rPr>
                      <w:rFonts w:hint="eastAsia"/>
                      <w:lang w:eastAsia="zh-CN"/>
                    </w:rPr>
                    <w:t>-</w:t>
                  </w:r>
                </w:p>
              </w:tc>
              <w:tc>
                <w:tcPr>
                  <w:tcW w:w="2952" w:type="dxa"/>
                </w:tcPr>
                <w:p>
                  <w:pPr>
                    <w:pStyle w:val="38"/>
                    <w:suppressLineNumbers w:val="0"/>
                    <w:spacing w:before="0" w:beforeAutospacing="0" w:afterAutospacing="0"/>
                    <w:ind w:left="0" w:right="0"/>
                    <w:rPr>
                      <w:rFonts w:hint="default"/>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51"/>
                    <w:suppressLineNumbers w:val="0"/>
                    <w:spacing w:before="0" w:beforeAutospacing="0" w:afterAutospacing="0"/>
                    <w:ind w:right="0"/>
                    <w:rPr>
                      <w:rFonts w:hint="default" w:cs="Arial"/>
                      <w:lang w:val="en-US" w:eastAsia="zh-CN"/>
                    </w:rPr>
                  </w:pPr>
                  <w:r>
                    <w:rPr>
                      <w:rFonts w:hint="default" w:cs="Arial"/>
                      <w:lang w:val="en-US"/>
                    </w:rPr>
                    <w:t xml:space="preserve">NOTE </w:t>
                  </w:r>
                  <w:r>
                    <w:rPr>
                      <w:rFonts w:hint="default" w:cs="Arial"/>
                      <w:vertAlign w:val="superscript"/>
                      <w:lang w:val="en-US" w:eastAsia="zh-CN"/>
                    </w:rPr>
                    <w:t>*</w:t>
                  </w:r>
                  <w:r>
                    <w:rPr>
                      <w:rFonts w:hint="default" w:cs="Arial"/>
                      <w:lang w:val="en-US"/>
                    </w:rPr>
                    <w:t>:</w:t>
                  </w:r>
                  <w:r>
                    <w:rPr>
                      <w:rFonts w:hint="default" w:cs="Arial"/>
                      <w:lang w:val="en-US"/>
                    </w:rPr>
                    <w:tab/>
                  </w:r>
                  <w:r>
                    <w:rPr>
                      <w:rFonts w:hint="default" w:cs="Arial"/>
                      <w:szCs w:val="21"/>
                      <w:lang w:val="en-US" w:eastAsia="zh-CN"/>
                    </w:rPr>
                    <w:t xml:space="preserve"> “-” denotes </w:t>
                  </w:r>
                  <w:r>
                    <w:rPr>
                      <w:rFonts w:hint="default" w:cs="Arial"/>
                      <w:szCs w:val="21"/>
                      <w:lang w:eastAsia="zh-CN"/>
                    </w:rPr>
                    <w:t>Δ</w:t>
                  </w:r>
                  <w:r>
                    <w:rPr>
                      <w:rFonts w:hint="default" w:cs="Arial"/>
                      <w:szCs w:val="21"/>
                      <w:lang w:val="en-US" w:eastAsia="zh-CN"/>
                    </w:rPr>
                    <w:t>R</w:t>
                  </w:r>
                  <w:r>
                    <w:rPr>
                      <w:rFonts w:hint="default" w:cs="Arial"/>
                      <w:szCs w:val="21"/>
                      <w:vertAlign w:val="subscript"/>
                      <w:lang w:val="en-US" w:eastAsia="zh-CN"/>
                    </w:rPr>
                    <w:t>IB,c</w:t>
                  </w:r>
                  <w:r>
                    <w:rPr>
                      <w:rFonts w:hint="default" w:cs="Arial"/>
                      <w:szCs w:val="21"/>
                      <w:lang w:val="en-US" w:eastAsia="zh-CN"/>
                    </w:rPr>
                    <w:t xml:space="preserve"> = 0.</w:t>
                  </w:r>
                </w:p>
                <w:p>
                  <w:pPr>
                    <w:pStyle w:val="51"/>
                    <w:suppressLineNumbers w:val="0"/>
                    <w:spacing w:before="0" w:beforeAutospacing="0" w:afterAutospacing="0"/>
                    <w:ind w:right="0"/>
                    <w:rPr>
                      <w:rFonts w:hint="default"/>
                      <w:lang w:val="en-US" w:eastAsia="zh-CN"/>
                    </w:rPr>
                  </w:pPr>
                  <w:r>
                    <w:rPr>
                      <w:rFonts w:hint="default" w:cs="Arial"/>
                      <w:lang w:val="en-US"/>
                    </w:rPr>
                    <w:t xml:space="preserve">NOTE </w:t>
                  </w:r>
                  <w:r>
                    <w:rPr>
                      <w:rFonts w:hint="default" w:cs="Arial"/>
                      <w:vertAlign w:val="superscript"/>
                      <w:lang w:val="en-US" w:eastAsia="zh-CN"/>
                    </w:rPr>
                    <w:t>**</w:t>
                  </w:r>
                  <w:r>
                    <w:rPr>
                      <w:rFonts w:hint="default" w:cs="Arial"/>
                      <w:lang w:val="en-US"/>
                    </w:rPr>
                    <w:t>:</w:t>
                  </w:r>
                  <w:r>
                    <w:rPr>
                      <w:rFonts w:hint="default" w:cs="Arial"/>
                      <w:lang w:val="en-US"/>
                    </w:rPr>
                    <w:tab/>
                  </w:r>
                  <w:r>
                    <w:rPr>
                      <w:rFonts w:hint="default" w:cs="Arial" w:asciiTheme="minorHAnsi" w:hAnsiTheme="minorHAnsi"/>
                      <w:szCs w:val="18"/>
                      <w:lang w:val="en-US" w:eastAsia="zh-CN"/>
                    </w:rPr>
                    <w:t xml:space="preserve">The component band order in the configuration should be listed by the </w:t>
                  </w:r>
                  <w:r>
                    <w:rPr>
                      <w:rFonts w:hint="default" w:asciiTheme="minorHAnsi" w:hAnsiTheme="minorHAnsi" w:cstheme="minorHAnsi"/>
                      <w:szCs w:val="18"/>
                      <w:lang w:val="en-US"/>
                    </w:rPr>
                    <w:t>order</w:t>
                  </w:r>
                  <w:r>
                    <w:rPr>
                      <w:rFonts w:hint="default" w:cs="Arial" w:asciiTheme="minorHAnsi" w:hAnsiTheme="minorHAnsi"/>
                      <w:szCs w:val="18"/>
                      <w:lang w:val="en-US" w:eastAsia="zh-CN"/>
                    </w:rPr>
                    <w:t xml:space="preserve"> of NR band</w:t>
                  </w:r>
                  <w:r>
                    <w:rPr>
                      <w:rFonts w:hint="default" w:cs="Arial"/>
                      <w:lang w:val="en-US" w:eastAsia="zh-CN"/>
                    </w:rPr>
                    <w:t xml:space="preserve">s, </w:t>
                  </w:r>
                  <w:r>
                    <w:rPr>
                      <w:rFonts w:hint="default"/>
                      <w:szCs w:val="18"/>
                      <w:lang w:val="en-US" w:eastAsia="zh-CN"/>
                    </w:rPr>
                    <w:t xml:space="preserve">such as for </w:t>
                  </w:r>
                  <w:r>
                    <w:rPr>
                      <w:rFonts w:hint="default"/>
                      <w:lang w:val="en-US"/>
                    </w:rPr>
                    <w:t>CA</w:t>
                  </w:r>
                  <w:r>
                    <w:rPr>
                      <w:rFonts w:hint="default"/>
                      <w:lang w:val="sv-SE"/>
                    </w:rPr>
                    <w:t>_n1-n77</w:t>
                  </w:r>
                  <w:r>
                    <w:rPr>
                      <w:rFonts w:hint="default"/>
                      <w:szCs w:val="18"/>
                      <w:lang w:val="en-US" w:eastAsia="zh-CN"/>
                    </w:rPr>
                    <w:t xml:space="preserve"> the band order from left to right is n1 and n77</w:t>
                  </w:r>
                  <w:r>
                    <w:rPr>
                      <w:rFonts w:hint="default" w:cs="Arial"/>
                      <w:lang w:val="en-US" w:eastAsia="zh-CN"/>
                    </w:rPr>
                    <w:t>.</w:t>
                  </w:r>
                </w:p>
              </w:tc>
            </w:tr>
          </w:tbl>
          <w:p>
            <w:pPr>
              <w:pStyle w:val="36"/>
              <w:keepNext w:val="0"/>
              <w:keepLines w:val="0"/>
              <w:numPr>
                <w:ilvl w:val="0"/>
                <w:numId w:val="2"/>
              </w:numPr>
              <w:suppressLineNumbers w:val="0"/>
              <w:spacing w:before="0" w:beforeAutospacing="0" w:after="120" w:afterAutospacing="0"/>
              <w:ind w:right="0" w:firstLineChars="0"/>
              <w:rPr>
                <w:rFonts w:hint="default"/>
                <w:lang w:eastAsia="zh-CN"/>
              </w:rPr>
            </w:pPr>
          </w:p>
          <w:p>
            <w:pPr>
              <w:keepNext w:val="0"/>
              <w:keepLines w:val="0"/>
              <w:suppressLineNumbers w:val="0"/>
              <w:spacing w:before="0" w:beforeAutospacing="0" w:after="120" w:afterAutospacing="0"/>
              <w:ind w:left="0" w:right="0"/>
              <w:rPr>
                <w:rFonts w:hint="default"/>
                <w:color w:val="0070C0"/>
                <w:szCs w:val="24"/>
                <w:lang w:eastAsia="zh-CN"/>
              </w:rPr>
            </w:pPr>
          </w:p>
          <w:p>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eastAsia="ko-KR"/>
              </w:rPr>
              <w:t xml:space="preserve">Issue </w:t>
            </w:r>
            <w:r>
              <w:rPr>
                <w:rFonts w:hint="eastAsia"/>
                <w:b/>
                <w:color w:val="0070C0"/>
                <w:u w:val="single"/>
                <w:lang w:val="en-US" w:eastAsia="zh-CN"/>
              </w:rPr>
              <w:t>3-4-2</w:t>
            </w:r>
            <w:r>
              <w:rPr>
                <w:rFonts w:hint="default"/>
                <w:b/>
                <w:color w:val="0070C0"/>
                <w:u w:val="single"/>
                <w:lang w:eastAsia="ko-KR"/>
              </w:rPr>
              <w:t xml:space="preserve">: </w:t>
            </w:r>
            <w:r>
              <w:rPr>
                <w:rFonts w:hint="default"/>
                <w:b/>
                <w:color w:val="0070C0"/>
                <w:u w:val="single"/>
                <w:lang w:val="en-US" w:eastAsia="zh-CN"/>
              </w:rPr>
              <w:t>MSD for CA_n3A-n39A</w:t>
            </w:r>
          </w:p>
          <w:p>
            <w:pPr>
              <w:keepNext w:val="0"/>
              <w:keepLines w:val="0"/>
              <w:suppressLineNumbers w:val="0"/>
              <w:spacing w:before="0" w:beforeAutospacing="0" w:after="120" w:afterAutospacing="0"/>
              <w:ind w:left="0" w:right="0"/>
              <w:rPr>
                <w:rFonts w:hint="default"/>
                <w:szCs w:val="24"/>
                <w:lang w:eastAsia="zh-CN"/>
              </w:rPr>
            </w:pPr>
            <w:r>
              <w:rPr>
                <w:rFonts w:hint="eastAsia"/>
                <w:szCs w:val="24"/>
                <w:lang w:eastAsia="zh-CN"/>
              </w:rPr>
              <w:t>A</w:t>
            </w:r>
            <w:r>
              <w:rPr>
                <w:rFonts w:hint="default"/>
                <w:szCs w:val="24"/>
                <w:lang w:eastAsia="zh-CN"/>
              </w:rPr>
              <w:t xml:space="preserve">greement: </w:t>
            </w:r>
          </w:p>
          <w:p>
            <w:pPr>
              <w:pStyle w:val="36"/>
              <w:keepNext w:val="0"/>
              <w:keepLines w:val="0"/>
              <w:numPr>
                <w:ilvl w:val="0"/>
                <w:numId w:val="2"/>
              </w:numPr>
              <w:suppressLineNumbers w:val="0"/>
              <w:spacing w:before="0" w:beforeAutospacing="0" w:after="120" w:afterAutospacing="0"/>
              <w:ind w:right="0" w:firstLineChars="0"/>
              <w:rPr>
                <w:rFonts w:hint="default"/>
                <w:lang w:eastAsia="zh-CN"/>
              </w:rPr>
            </w:pPr>
            <w:r>
              <w:rPr>
                <w:rFonts w:hint="eastAsia" w:eastAsiaTheme="minorEastAsia"/>
                <w:lang w:eastAsia="zh-CN"/>
              </w:rPr>
              <w:t>There is no MSD issue for n3 impact n39.</w:t>
            </w:r>
          </w:p>
          <w:p>
            <w:pPr>
              <w:keepNext w:val="0"/>
              <w:keepLines w:val="0"/>
              <w:suppressLineNumbers w:val="0"/>
              <w:spacing w:before="0" w:beforeAutospacing="0" w:after="120" w:afterAutospacing="0"/>
              <w:ind w:left="0" w:right="0"/>
              <w:rPr>
                <w:rFonts w:hint="default"/>
                <w:color w:val="0070C0"/>
                <w:szCs w:val="24"/>
                <w:lang w:eastAsia="zh-CN"/>
              </w:rPr>
            </w:pPr>
          </w:p>
          <w:p>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eastAsia="ko-KR"/>
              </w:rPr>
              <w:t xml:space="preserve">Issue </w:t>
            </w:r>
            <w:r>
              <w:rPr>
                <w:rFonts w:hint="eastAsia"/>
                <w:b/>
                <w:color w:val="0070C0"/>
                <w:u w:val="single"/>
                <w:lang w:val="en-US" w:eastAsia="zh-CN"/>
              </w:rPr>
              <w:t>3-4-3</w:t>
            </w:r>
            <w:r>
              <w:rPr>
                <w:rFonts w:hint="default"/>
                <w:b/>
                <w:color w:val="0070C0"/>
                <w:u w:val="single"/>
                <w:lang w:eastAsia="ko-KR"/>
              </w:rPr>
              <w:t xml:space="preserve">: </w:t>
            </w:r>
            <w:r>
              <w:rPr>
                <w:rFonts w:hint="default"/>
                <w:b/>
                <w:color w:val="0070C0"/>
                <w:u w:val="single"/>
                <w:lang w:val="en-US" w:eastAsia="zh-CN"/>
              </w:rPr>
              <w:t>OOB exception for CA_n3A-n39A</w:t>
            </w:r>
          </w:p>
          <w:p>
            <w:pPr>
              <w:keepNext w:val="0"/>
              <w:keepLines w:val="0"/>
              <w:suppressLineNumbers w:val="0"/>
              <w:spacing w:before="0" w:beforeAutospacing="0" w:after="120" w:afterAutospacing="0"/>
              <w:ind w:left="0" w:right="0"/>
              <w:rPr>
                <w:rFonts w:hint="default"/>
                <w:szCs w:val="24"/>
                <w:lang w:eastAsia="zh-CN"/>
              </w:rPr>
            </w:pPr>
            <w:r>
              <w:rPr>
                <w:rFonts w:hint="eastAsia"/>
                <w:szCs w:val="24"/>
                <w:lang w:eastAsia="zh-CN"/>
              </w:rPr>
              <w:t>A</w:t>
            </w:r>
            <w:r>
              <w:rPr>
                <w:rFonts w:hint="default"/>
                <w:szCs w:val="24"/>
                <w:lang w:eastAsia="zh-CN"/>
              </w:rPr>
              <w:t xml:space="preserve">greement: </w:t>
            </w:r>
          </w:p>
          <w:p>
            <w:pPr>
              <w:pStyle w:val="36"/>
              <w:keepNext w:val="0"/>
              <w:keepLines w:val="0"/>
              <w:numPr>
                <w:ilvl w:val="0"/>
                <w:numId w:val="2"/>
              </w:numPr>
              <w:suppressLineNumbers w:val="0"/>
              <w:spacing w:before="0" w:beforeAutospacing="0" w:after="120" w:afterAutospacing="0"/>
              <w:ind w:right="0" w:firstLineChars="0"/>
              <w:rPr>
                <w:rFonts w:hint="default"/>
                <w:vertAlign w:val="baseline"/>
                <w:lang w:val="en-US" w:eastAsia="zh-CN"/>
              </w:rPr>
            </w:pPr>
            <w:r>
              <w:rPr>
                <w:rFonts w:hint="default" w:eastAsiaTheme="minorEastAsia"/>
                <w:lang w:eastAsia="zh-CN"/>
              </w:rPr>
              <w:t>No need to specify OOB blocking exception for CA_n3-n39 since the second order intermodulation product of the n3 UL carrier and the CW interfering signal will not overlaps with the n39 DL carrier.</w:t>
            </w:r>
          </w:p>
        </w:tc>
      </w:tr>
    </w:tbl>
    <w:p>
      <w:pPr>
        <w:keepNext/>
        <w:keepLines/>
        <w:pageBreakBefore w:val="0"/>
        <w:tabs>
          <w:tab w:val="left" w:pos="2127"/>
        </w:tabs>
        <w:kinsoku/>
        <w:wordWrap/>
        <w:topLinePunct w:val="0"/>
        <w:bidi w:val="0"/>
        <w:snapToGrid/>
        <w:spacing w:after="0"/>
        <w:rPr>
          <w:rFonts w:hint="default"/>
          <w:lang w:val="en-US" w:eastAsia="zh-CN"/>
        </w:rPr>
      </w:pPr>
    </w:p>
    <w:p>
      <w:pPr>
        <w:pStyle w:val="58"/>
        <w:keepNext/>
        <w:keepLines/>
        <w:pageBreakBefore w:val="0"/>
        <w:tabs>
          <w:tab w:val="left" w:pos="567"/>
          <w:tab w:val="clear" w:pos="1985"/>
        </w:tabs>
        <w:kinsoku/>
        <w:wordWrap/>
        <w:topLinePunct w:val="0"/>
        <w:bidi w:val="0"/>
        <w:adjustRightInd w:val="0"/>
        <w:snapToGrid/>
        <w:ind w:left="510" w:hanging="510"/>
        <w:rPr>
          <w:rFonts w:hint="eastAsia"/>
          <w:sz w:val="28"/>
          <w:szCs w:val="28"/>
          <w:lang w:val="en-US" w:eastAsia="zh-CN"/>
        </w:rPr>
      </w:pPr>
      <w:bookmarkStart w:id="2" w:name="OLE_LINK10"/>
      <w:bookmarkStart w:id="3" w:name="OLE_LINK14"/>
      <w:bookmarkStart w:id="4" w:name="OLE_LINK13"/>
      <w:bookmarkStart w:id="5" w:name="OLE_LINK20"/>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pBdr>
          <w:top w:val="none" w:color="auto" w:sz="0" w:space="1"/>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eastAsia="Times New Roman"/>
          <w:sz w:val="28"/>
          <w:szCs w:val="28"/>
        </w:rPr>
      </w:pPr>
      <w:r>
        <w:rPr>
          <w:rFonts w:hint="eastAsia"/>
          <w:sz w:val="28"/>
          <w:szCs w:val="28"/>
          <w:lang w:val="en-US" w:eastAsia="zh-CN"/>
        </w:rPr>
        <w:t>2.1. BCS for CA_</w:t>
      </w:r>
      <w:r>
        <w:rPr>
          <w:rFonts w:hint="eastAsia" w:eastAsia="等线"/>
          <w:highlight w:val="none"/>
          <w:lang w:eastAsia="zh-CN"/>
        </w:rPr>
        <w:t>n3</w:t>
      </w:r>
      <w:r>
        <w:rPr>
          <w:rFonts w:hint="eastAsia" w:eastAsia="等线"/>
          <w:highlight w:val="none"/>
          <w:lang w:val="en-US" w:eastAsia="zh-CN"/>
        </w:rPr>
        <w:t>-</w:t>
      </w:r>
      <w:r>
        <w:rPr>
          <w:rFonts w:hint="eastAsia" w:eastAsia="等线"/>
          <w:highlight w:val="none"/>
          <w:lang w:eastAsia="zh-CN"/>
        </w:rPr>
        <w:t>n39</w:t>
      </w:r>
      <w:r>
        <w:rPr>
          <w:rFonts w:hint="eastAsia" w:eastAsia="Times New Roman"/>
          <w:sz w:val="28"/>
          <w:szCs w:val="28"/>
        </w:rPr>
        <w:t xml:space="preserve"> </w:t>
      </w:r>
    </w:p>
    <w:p>
      <w:pPr>
        <w:pStyle w:val="58"/>
        <w:keepNext/>
        <w:keepLines/>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before="120" w:after="120" w:line="240" w:lineRule="auto"/>
        <w:ind w:leftChars="0"/>
        <w:textAlignment w:val="auto"/>
        <w:outlineLvl w:val="9"/>
        <w:rPr>
          <w:rFonts w:hint="eastAsia" w:ascii="Times New Roman" w:hAnsi="Times New Roman" w:cs="Times New Roman"/>
          <w:kern w:val="2"/>
          <w:sz w:val="21"/>
          <w:szCs w:val="22"/>
          <w:lang w:val="en-US" w:eastAsia="zh-CN" w:bidi="ar-SA"/>
        </w:rPr>
      </w:pPr>
      <w:r>
        <w:rPr>
          <w:rFonts w:hint="eastAsia" w:ascii="Times New Roman" w:hAnsi="Times New Roman" w:cs="Times New Roman"/>
          <w:kern w:val="2"/>
          <w:sz w:val="21"/>
          <w:szCs w:val="22"/>
          <w:lang w:val="en-US" w:eastAsia="zh-CN" w:bidi="ar-SA"/>
        </w:rPr>
        <w:t xml:space="preserve">During the last RAN4 meeting, there were some discussions on whether n39 UL could be enabled. Considering the DL frequency range of n3 is immediately closed to n39 UL, so it is proposed that only n3 is supported in the uplink by default assumption. </w:t>
      </w:r>
    </w:p>
    <w:p>
      <w:pPr>
        <w:pStyle w:val="47"/>
        <w:rPr>
          <w:rFonts w:cs="Arial"/>
          <w:lang w:eastAsia="ja-JP"/>
        </w:rPr>
      </w:pPr>
      <w:r>
        <w:rPr>
          <w:rFonts w:cs="Arial"/>
        </w:rPr>
        <w:t>Table</w:t>
      </w:r>
      <w:r>
        <w:rPr>
          <w:rFonts w:hint="eastAsia" w:cs="Arial"/>
          <w:lang w:val="en-US" w:eastAsia="zh-CN"/>
        </w:rPr>
        <w:t xml:space="preserve"> 2.2</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 xml:space="preserve">band </w:t>
      </w:r>
      <w:bookmarkStart w:id="6" w:name="_Hlk159920478"/>
      <w:r>
        <w:rPr>
          <w:rFonts w:cs="Arial"/>
          <w:lang w:val="en-US" w:eastAsia="zh-CN"/>
        </w:rPr>
        <w:t>n3+n39</w:t>
      </w:r>
      <w:bookmarkEnd w:id="6"/>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37"/>
              <w:suppressLineNumbers w:val="0"/>
              <w:spacing w:before="0" w:beforeAutospacing="0" w:afterAutospacing="0"/>
              <w:ind w:left="0" w:right="0"/>
              <w:rPr>
                <w:rFonts w:hint="default" w:eastAsia="Malgun Gothic" w:cs="Arial"/>
              </w:rPr>
            </w:pPr>
            <w:r>
              <w:rPr>
                <w:rFonts w:hint="default" w:eastAsia="Malgun Gothic" w:cs="Arial"/>
                <w:lang w:eastAsia="ja-JP"/>
              </w:rPr>
              <w:t>NR</w:t>
            </w:r>
            <w:r>
              <w:rPr>
                <w:rFonts w:hint="default" w:eastAsia="Malgun Gothic" w:cs="Arial"/>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eastAsia="Malgun Gothic" w:cs="Arial"/>
              </w:rPr>
            </w:pPr>
            <w:r>
              <w:rPr>
                <w:rFonts w:hint="default" w:eastAsia="Malgun Gothic" w:cs="Arial"/>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eastAsia="Malgun Gothic" w:cs="Arial"/>
              </w:rPr>
            </w:pPr>
            <w:r>
              <w:rPr>
                <w:rFonts w:hint="default" w:eastAsia="Malgun Gothic" w:cs="Arial"/>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37"/>
              <w:suppressLineNumbers w:val="0"/>
              <w:spacing w:before="0" w:beforeAutospacing="0" w:afterAutospacing="0"/>
              <w:ind w:left="0" w:right="0"/>
              <w:rPr>
                <w:rFonts w:hint="default" w:eastAsia="Malgun Gothic" w:cs="Arial"/>
              </w:rPr>
            </w:pPr>
            <w:r>
              <w:rPr>
                <w:rFonts w:hint="default" w:eastAsia="Malgun Gothic" w:cs="Arial"/>
              </w:rPr>
              <w:t>Duplex</w:t>
            </w:r>
          </w:p>
          <w:p>
            <w:pPr>
              <w:pStyle w:val="37"/>
              <w:suppressLineNumbers w:val="0"/>
              <w:spacing w:before="0" w:beforeAutospacing="0" w:afterAutospacing="0"/>
              <w:ind w:left="0" w:right="0"/>
              <w:rPr>
                <w:rFonts w:hint="default" w:ascii="Times New Roman" w:hAnsi="Times New Roman" w:eastAsia="Malgun Gothic"/>
              </w:rPr>
            </w:pPr>
            <w:r>
              <w:rPr>
                <w:rFonts w:hint="default" w:eastAsia="Malgun Gothic" w:cs="Arial"/>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37"/>
              <w:suppressLineNumbers w:val="0"/>
              <w:spacing w:before="0" w:beforeAutospacing="0" w:afterAutospacing="0"/>
              <w:ind w:left="0" w:right="0"/>
              <w:rPr>
                <w:rFonts w:hint="default"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37"/>
              <w:suppressLineNumbers w:val="0"/>
              <w:spacing w:before="0" w:beforeAutospacing="0" w:afterAutospacing="0"/>
              <w:ind w:left="0" w:right="0"/>
              <w:rPr>
                <w:rFonts w:hint="default" w:eastAsia="Malgun Gothic" w:cs="Arial"/>
              </w:rPr>
            </w:pPr>
            <w:r>
              <w:rPr>
                <w:rFonts w:hint="default" w:eastAsia="Malgun Gothic" w:cs="Arial"/>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eastAsia="Malgun Gothic" w:cs="Arial"/>
              </w:rPr>
            </w:pPr>
            <w:r>
              <w:rPr>
                <w:rFonts w:hint="default" w:eastAsia="Malgun Gothic" w:cs="Aria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37"/>
              <w:suppressLineNumbers w:val="0"/>
              <w:spacing w:before="0" w:beforeAutospacing="0" w:afterAutospacing="0"/>
              <w:ind w:left="0" w:right="0"/>
              <w:rPr>
                <w:rFonts w:hint="default"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37"/>
              <w:suppressLineNumbers w:val="0"/>
              <w:spacing w:before="0" w:beforeAutospacing="0" w:afterAutospacing="0"/>
              <w:ind w:left="0" w:right="0"/>
              <w:rPr>
                <w:rFonts w:hint="default"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37"/>
              <w:suppressLineNumbers w:val="0"/>
              <w:spacing w:before="0" w:beforeAutospacing="0" w:afterAutospacing="0"/>
              <w:ind w:left="0" w:right="0"/>
              <w:rPr>
                <w:rFonts w:hint="default" w:eastAsia="Malgun Gothic" w:cs="Arial"/>
              </w:rPr>
            </w:pPr>
            <w:r>
              <w:rPr>
                <w:rFonts w:hint="default" w:eastAsia="Malgun Gothic" w:cs="Arial"/>
              </w:rPr>
              <w:t>F</w:t>
            </w:r>
            <w:r>
              <w:rPr>
                <w:rFonts w:hint="default" w:eastAsia="Malgun Gothic" w:cs="Arial"/>
                <w:vertAlign w:val="subscript"/>
              </w:rPr>
              <w:t>UL_low</w:t>
            </w:r>
            <w:r>
              <w:rPr>
                <w:rFonts w:hint="default" w:eastAsia="Malgun Gothic" w:cs="Arial"/>
              </w:rPr>
              <w:t xml:space="preserve"> – F</w:t>
            </w:r>
            <w:r>
              <w:rPr>
                <w:rFonts w:hint="default" w:eastAsia="Malgun Gothic" w:cs="Arial"/>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37"/>
              <w:suppressLineNumbers w:val="0"/>
              <w:spacing w:before="0" w:beforeAutospacing="0" w:afterAutospacing="0"/>
              <w:ind w:left="0" w:right="0"/>
              <w:rPr>
                <w:rFonts w:hint="default" w:eastAsia="Malgun Gothic" w:cs="Arial"/>
              </w:rPr>
            </w:pPr>
            <w:r>
              <w:rPr>
                <w:rFonts w:hint="default" w:eastAsia="Malgun Gothic" w:cs="Arial"/>
              </w:rPr>
              <w:t>F</w:t>
            </w:r>
            <w:r>
              <w:rPr>
                <w:rFonts w:hint="default" w:eastAsia="Malgun Gothic" w:cs="Arial"/>
                <w:vertAlign w:val="subscript"/>
              </w:rPr>
              <w:t>DL_low</w:t>
            </w:r>
            <w:r>
              <w:rPr>
                <w:rFonts w:hint="default" w:eastAsia="Malgun Gothic" w:cs="Arial"/>
              </w:rPr>
              <w:t xml:space="preserve"> – F</w:t>
            </w:r>
            <w:r>
              <w:rPr>
                <w:rFonts w:hint="default" w:eastAsia="Malgun Gothic" w:cs="Arial"/>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37"/>
              <w:suppressLineNumbers w:val="0"/>
              <w:spacing w:before="0" w:beforeAutospacing="0" w:afterAutospacing="0"/>
              <w:ind w:left="0" w:right="0"/>
              <w:rPr>
                <w:rFonts w:hint="default"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spacing w:before="0" w:beforeAutospacing="0" w:after="0" w:afterAutospacing="0"/>
              <w:ind w:left="0" w:right="0"/>
              <w:jc w:val="center"/>
              <w:rPr>
                <w:rFonts w:hint="default" w:ascii="Arial" w:hAnsi="Arial" w:cs="Arial"/>
                <w:sz w:val="18"/>
                <w:lang w:val="en-US" w:eastAsia="zh-CN"/>
              </w:rPr>
            </w:pPr>
            <w:r>
              <w:rPr>
                <w:rFonts w:hint="default" w:ascii="Arial" w:hAnsi="Arial" w:cs="Arial"/>
                <w:sz w:val="18"/>
                <w:lang w:val="en-US" w:eastAsia="zh-CN"/>
              </w:rPr>
              <w:t>n3</w:t>
            </w:r>
          </w:p>
        </w:tc>
        <w:tc>
          <w:tcPr>
            <w:tcW w:w="1088" w:type="dxa"/>
            <w:tcBorders>
              <w:top w:val="single" w:color="auto" w:sz="4" w:space="0"/>
              <w:left w:val="single" w:color="auto" w:sz="4" w:space="0"/>
              <w:bottom w:val="single" w:color="auto" w:sz="4" w:space="0"/>
              <w:right w:val="nil"/>
            </w:tcBorders>
            <w:vAlign w:val="center"/>
          </w:tcPr>
          <w:p>
            <w:pPr>
              <w:keepNext/>
              <w:keepLines/>
              <w:suppressLineNumbers w:val="0"/>
              <w:spacing w:before="0" w:beforeAutospacing="0" w:after="0" w:afterAutospacing="0"/>
              <w:ind w:left="0" w:right="0"/>
              <w:jc w:val="center"/>
              <w:rPr>
                <w:rFonts w:hint="default"/>
                <w:sz w:val="18"/>
                <w:lang w:eastAsia="zh-CN"/>
              </w:rPr>
            </w:pPr>
            <w:r>
              <w:rPr>
                <w:rFonts w:hint="eastAsia"/>
                <w:sz w:val="18"/>
                <w:lang w:eastAsia="zh-CN"/>
              </w:rPr>
              <w:t>1</w:t>
            </w:r>
            <w:r>
              <w:rPr>
                <w:rFonts w:hint="default"/>
                <w:sz w:val="18"/>
                <w:lang w:eastAsia="zh-CN"/>
              </w:rPr>
              <w:t>710</w:t>
            </w:r>
          </w:p>
        </w:tc>
        <w:tc>
          <w:tcPr>
            <w:tcW w:w="295" w:type="dxa"/>
            <w:tcBorders>
              <w:top w:val="single" w:color="auto" w:sz="4" w:space="0"/>
              <w:left w:val="nil"/>
              <w:bottom w:val="single" w:color="auto" w:sz="4" w:space="0"/>
              <w:right w:val="nil"/>
            </w:tcBorders>
            <w:vAlign w:val="center"/>
          </w:tcPr>
          <w:p>
            <w:pPr>
              <w:keepNext/>
              <w:keepLines/>
              <w:suppressLineNumbers w:val="0"/>
              <w:spacing w:before="0" w:beforeAutospacing="0" w:after="0" w:afterAutospacing="0"/>
              <w:ind w:left="0" w:right="0"/>
              <w:jc w:val="center"/>
              <w:rPr>
                <w:rFonts w:hint="default"/>
                <w:sz w:val="18"/>
                <w:lang w:val="en-US" w:eastAsia="zh-CN"/>
              </w:rPr>
            </w:pPr>
            <w:r>
              <w:rPr>
                <w:rFonts w:hint="default"/>
                <w:sz w:val="18"/>
                <w:lang w:val="en-US" w:eastAsia="zh-CN"/>
              </w:rPr>
              <w:t xml:space="preserve"> </w:t>
            </w:r>
            <w:r>
              <w:rPr>
                <w:rFonts w:hint="default"/>
                <w:sz w:val="18"/>
              </w:rPr>
              <w:t>–</w:t>
            </w:r>
          </w:p>
        </w:tc>
        <w:tc>
          <w:tcPr>
            <w:tcW w:w="1593" w:type="dxa"/>
            <w:tcBorders>
              <w:top w:val="single" w:color="auto" w:sz="4" w:space="0"/>
              <w:left w:val="nil"/>
              <w:bottom w:val="single" w:color="auto" w:sz="4" w:space="0"/>
              <w:right w:val="single" w:color="auto" w:sz="4" w:space="0"/>
            </w:tcBorders>
            <w:vAlign w:val="center"/>
          </w:tcPr>
          <w:p>
            <w:pPr>
              <w:keepNext/>
              <w:keepLines/>
              <w:suppressLineNumbers w:val="0"/>
              <w:spacing w:before="0" w:beforeAutospacing="0" w:after="0" w:afterAutospacing="0"/>
              <w:ind w:left="0" w:right="0"/>
              <w:jc w:val="center"/>
              <w:rPr>
                <w:rFonts w:hint="default"/>
                <w:sz w:val="18"/>
                <w:lang w:eastAsia="zh-CN"/>
              </w:rPr>
            </w:pPr>
            <w:r>
              <w:rPr>
                <w:rFonts w:hint="eastAsia"/>
                <w:sz w:val="18"/>
                <w:lang w:eastAsia="zh-CN"/>
              </w:rPr>
              <w:t>1</w:t>
            </w:r>
            <w:r>
              <w:rPr>
                <w:rFonts w:hint="default"/>
                <w:sz w:val="18"/>
                <w:lang w:eastAsia="zh-CN"/>
              </w:rPr>
              <w:t>785</w:t>
            </w:r>
          </w:p>
        </w:tc>
        <w:tc>
          <w:tcPr>
            <w:tcW w:w="1231" w:type="dxa"/>
            <w:tcBorders>
              <w:top w:val="single" w:color="auto" w:sz="4" w:space="0"/>
              <w:left w:val="single" w:color="auto" w:sz="4" w:space="0"/>
              <w:bottom w:val="single" w:color="auto" w:sz="4" w:space="0"/>
              <w:right w:val="nil"/>
            </w:tcBorders>
            <w:vAlign w:val="center"/>
          </w:tcPr>
          <w:p>
            <w:pPr>
              <w:keepNext/>
              <w:keepLines/>
              <w:suppressLineNumbers w:val="0"/>
              <w:spacing w:before="0" w:beforeAutospacing="0" w:after="0" w:afterAutospacing="0"/>
              <w:ind w:left="0" w:right="0"/>
              <w:jc w:val="center"/>
              <w:rPr>
                <w:rFonts w:hint="default"/>
                <w:sz w:val="18"/>
                <w:lang w:eastAsia="zh-CN"/>
              </w:rPr>
            </w:pPr>
            <w:r>
              <w:rPr>
                <w:rFonts w:hint="eastAsia"/>
                <w:sz w:val="18"/>
                <w:lang w:eastAsia="zh-CN"/>
              </w:rPr>
              <w:t>1</w:t>
            </w:r>
            <w:r>
              <w:rPr>
                <w:rFonts w:hint="default"/>
                <w:sz w:val="18"/>
                <w:lang w:eastAsia="zh-CN"/>
              </w:rPr>
              <w:t>805</w:t>
            </w:r>
          </w:p>
        </w:tc>
        <w:tc>
          <w:tcPr>
            <w:tcW w:w="355" w:type="dxa"/>
            <w:tcBorders>
              <w:top w:val="single" w:color="auto" w:sz="4" w:space="0"/>
              <w:left w:val="nil"/>
              <w:bottom w:val="single" w:color="auto" w:sz="4" w:space="0"/>
              <w:right w:val="nil"/>
            </w:tcBorders>
            <w:vAlign w:val="center"/>
          </w:tcPr>
          <w:p>
            <w:pPr>
              <w:keepNext/>
              <w:keepLines/>
              <w:suppressLineNumbers w:val="0"/>
              <w:spacing w:before="0" w:beforeAutospacing="0" w:after="0" w:afterAutospacing="0"/>
              <w:ind w:left="0" w:right="0"/>
              <w:jc w:val="center"/>
              <w:rPr>
                <w:rFonts w:hint="default"/>
                <w:sz w:val="18"/>
                <w:lang w:eastAsia="ja-JP"/>
              </w:rPr>
            </w:pPr>
            <w:r>
              <w:rPr>
                <w:rFonts w:hint="default"/>
                <w:sz w:val="18"/>
              </w:rPr>
              <w:t>–</w:t>
            </w:r>
          </w:p>
        </w:tc>
        <w:tc>
          <w:tcPr>
            <w:tcW w:w="1530" w:type="dxa"/>
            <w:tcBorders>
              <w:top w:val="single" w:color="auto" w:sz="4" w:space="0"/>
              <w:left w:val="nil"/>
              <w:bottom w:val="single" w:color="auto" w:sz="4" w:space="0"/>
              <w:right w:val="single" w:color="auto" w:sz="4" w:space="0"/>
            </w:tcBorders>
            <w:vAlign w:val="center"/>
          </w:tcPr>
          <w:p>
            <w:pPr>
              <w:keepNext/>
              <w:keepLines/>
              <w:suppressLineNumbers w:val="0"/>
              <w:spacing w:before="0" w:beforeAutospacing="0" w:after="0" w:afterAutospacing="0"/>
              <w:ind w:left="0" w:right="0"/>
              <w:jc w:val="center"/>
              <w:rPr>
                <w:rFonts w:hint="default"/>
                <w:sz w:val="18"/>
                <w:lang w:eastAsia="zh-CN"/>
              </w:rPr>
            </w:pPr>
            <w:r>
              <w:rPr>
                <w:rFonts w:hint="eastAsia"/>
                <w:sz w:val="18"/>
                <w:lang w:eastAsia="zh-CN"/>
              </w:rPr>
              <w:t>1</w:t>
            </w:r>
            <w:r>
              <w:rPr>
                <w:rFonts w:hint="default"/>
                <w:sz w:val="18"/>
                <w:lang w:eastAsia="zh-CN"/>
              </w:rPr>
              <w:t>880</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spacing w:before="0" w:beforeAutospacing="0" w:after="0" w:afterAutospacing="0"/>
              <w:ind w:left="0" w:right="0"/>
              <w:jc w:val="center"/>
              <w:rPr>
                <w:rFonts w:hint="default"/>
                <w:sz w:val="18"/>
                <w:lang w:eastAsia="zh-CN"/>
              </w:rPr>
            </w:pPr>
            <w:r>
              <w:rPr>
                <w:rFonts w:hint="eastAsia"/>
                <w:sz w:val="18"/>
                <w:lang w:eastAsia="zh-CN"/>
              </w:rPr>
              <w:t>F</w:t>
            </w:r>
            <w:r>
              <w:rPr>
                <w:rFonts w:hint="default"/>
                <w:sz w:val="18"/>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spacing w:before="0" w:beforeAutospacing="0" w:after="0" w:afterAutospacing="0"/>
              <w:ind w:left="0" w:right="0"/>
              <w:jc w:val="center"/>
              <w:rPr>
                <w:rFonts w:hint="default" w:ascii="Arial" w:hAnsi="Arial" w:cs="Arial"/>
                <w:sz w:val="18"/>
                <w:lang w:val="en-US" w:eastAsia="zh-CN"/>
              </w:rPr>
            </w:pPr>
            <w:r>
              <w:rPr>
                <w:rFonts w:hint="default" w:ascii="Arial" w:hAnsi="Arial" w:cs="Arial"/>
                <w:sz w:val="18"/>
                <w:lang w:val="en-US" w:eastAsia="zh-CN"/>
              </w:rPr>
              <w:t>n39</w:t>
            </w:r>
          </w:p>
        </w:tc>
        <w:tc>
          <w:tcPr>
            <w:tcW w:w="1088" w:type="dxa"/>
            <w:tcBorders>
              <w:top w:val="single" w:color="auto" w:sz="4" w:space="0"/>
              <w:left w:val="single" w:color="auto" w:sz="4" w:space="0"/>
              <w:bottom w:val="single" w:color="auto" w:sz="4" w:space="0"/>
              <w:right w:val="nil"/>
            </w:tcBorders>
            <w:vAlign w:val="center"/>
          </w:tcPr>
          <w:p>
            <w:pPr>
              <w:keepNext/>
              <w:keepLines/>
              <w:suppressLineNumbers w:val="0"/>
              <w:spacing w:before="0" w:beforeAutospacing="0" w:after="0" w:afterAutospacing="0"/>
              <w:ind w:left="0" w:right="0"/>
              <w:jc w:val="center"/>
              <w:rPr>
                <w:rFonts w:hint="default"/>
                <w:sz w:val="18"/>
                <w:lang w:eastAsia="zh-CN"/>
              </w:rPr>
            </w:pPr>
            <w:r>
              <w:rPr>
                <w:rFonts w:hint="eastAsia"/>
                <w:sz w:val="18"/>
                <w:lang w:eastAsia="zh-CN"/>
              </w:rPr>
              <w:t>1</w:t>
            </w:r>
            <w:r>
              <w:rPr>
                <w:rFonts w:hint="default"/>
                <w:sz w:val="18"/>
                <w:lang w:eastAsia="zh-CN"/>
              </w:rPr>
              <w:t>880</w:t>
            </w:r>
          </w:p>
        </w:tc>
        <w:tc>
          <w:tcPr>
            <w:tcW w:w="295" w:type="dxa"/>
            <w:tcBorders>
              <w:top w:val="single" w:color="auto" w:sz="4" w:space="0"/>
              <w:left w:val="nil"/>
              <w:bottom w:val="single" w:color="auto" w:sz="4" w:space="0"/>
              <w:right w:val="nil"/>
            </w:tcBorders>
            <w:vAlign w:val="center"/>
          </w:tcPr>
          <w:p>
            <w:pPr>
              <w:keepNext/>
              <w:keepLines/>
              <w:suppressLineNumbers w:val="0"/>
              <w:spacing w:before="0" w:beforeAutospacing="0" w:after="0" w:afterAutospacing="0"/>
              <w:ind w:left="0" w:right="0"/>
              <w:jc w:val="center"/>
              <w:rPr>
                <w:rFonts w:hint="default"/>
                <w:sz w:val="18"/>
                <w:lang w:eastAsia="ja-JP"/>
              </w:rPr>
            </w:pPr>
            <w:r>
              <w:rPr>
                <w:rFonts w:hint="default"/>
                <w:sz w:val="18"/>
                <w:lang w:val="en-US" w:eastAsia="zh-CN"/>
              </w:rPr>
              <w:t xml:space="preserve"> </w:t>
            </w:r>
            <w:r>
              <w:rPr>
                <w:rFonts w:hint="default"/>
                <w:sz w:val="18"/>
              </w:rPr>
              <w:t>–</w:t>
            </w:r>
          </w:p>
        </w:tc>
        <w:tc>
          <w:tcPr>
            <w:tcW w:w="1593" w:type="dxa"/>
            <w:tcBorders>
              <w:top w:val="single" w:color="auto" w:sz="4" w:space="0"/>
              <w:left w:val="nil"/>
              <w:bottom w:val="single" w:color="auto" w:sz="4" w:space="0"/>
              <w:right w:val="single" w:color="auto" w:sz="4" w:space="0"/>
            </w:tcBorders>
            <w:vAlign w:val="center"/>
          </w:tcPr>
          <w:p>
            <w:pPr>
              <w:keepNext/>
              <w:keepLines/>
              <w:suppressLineNumbers w:val="0"/>
              <w:spacing w:before="0" w:beforeAutospacing="0" w:after="0" w:afterAutospacing="0"/>
              <w:ind w:left="0" w:right="0"/>
              <w:jc w:val="center"/>
              <w:rPr>
                <w:rFonts w:hint="default"/>
                <w:sz w:val="18"/>
                <w:lang w:eastAsia="zh-CN"/>
              </w:rPr>
            </w:pPr>
            <w:r>
              <w:rPr>
                <w:rFonts w:hint="eastAsia"/>
                <w:sz w:val="18"/>
                <w:lang w:eastAsia="zh-CN"/>
              </w:rPr>
              <w:t>1</w:t>
            </w:r>
            <w:r>
              <w:rPr>
                <w:rFonts w:hint="default"/>
                <w:sz w:val="18"/>
                <w:lang w:eastAsia="zh-CN"/>
              </w:rPr>
              <w:t>920</w:t>
            </w:r>
          </w:p>
        </w:tc>
        <w:tc>
          <w:tcPr>
            <w:tcW w:w="1231" w:type="dxa"/>
            <w:tcBorders>
              <w:top w:val="single" w:color="auto" w:sz="4" w:space="0"/>
              <w:left w:val="single" w:color="auto" w:sz="4" w:space="0"/>
              <w:bottom w:val="single" w:color="auto" w:sz="4" w:space="0"/>
              <w:right w:val="nil"/>
            </w:tcBorders>
            <w:vAlign w:val="center"/>
          </w:tcPr>
          <w:p>
            <w:pPr>
              <w:keepNext/>
              <w:keepLines/>
              <w:suppressLineNumbers w:val="0"/>
              <w:spacing w:before="0" w:beforeAutospacing="0" w:after="0" w:afterAutospacing="0"/>
              <w:ind w:left="0" w:right="0"/>
              <w:jc w:val="center"/>
              <w:rPr>
                <w:rFonts w:hint="default"/>
                <w:sz w:val="18"/>
                <w:lang w:eastAsia="zh-CN"/>
              </w:rPr>
            </w:pPr>
            <w:r>
              <w:rPr>
                <w:rFonts w:hint="eastAsia"/>
                <w:sz w:val="18"/>
                <w:lang w:eastAsia="zh-CN"/>
              </w:rPr>
              <w:t>1</w:t>
            </w:r>
            <w:r>
              <w:rPr>
                <w:rFonts w:hint="default"/>
                <w:sz w:val="18"/>
                <w:lang w:eastAsia="zh-CN"/>
              </w:rPr>
              <w:t>880</w:t>
            </w:r>
          </w:p>
        </w:tc>
        <w:tc>
          <w:tcPr>
            <w:tcW w:w="355" w:type="dxa"/>
            <w:tcBorders>
              <w:top w:val="single" w:color="auto" w:sz="4" w:space="0"/>
              <w:left w:val="nil"/>
              <w:bottom w:val="single" w:color="auto" w:sz="4" w:space="0"/>
              <w:right w:val="nil"/>
            </w:tcBorders>
            <w:vAlign w:val="center"/>
          </w:tcPr>
          <w:p>
            <w:pPr>
              <w:keepNext/>
              <w:keepLines/>
              <w:suppressLineNumbers w:val="0"/>
              <w:spacing w:before="0" w:beforeAutospacing="0" w:after="0" w:afterAutospacing="0"/>
              <w:ind w:left="0" w:right="0"/>
              <w:jc w:val="center"/>
              <w:rPr>
                <w:rFonts w:hint="default"/>
                <w:sz w:val="18"/>
                <w:lang w:eastAsia="ja-JP"/>
              </w:rPr>
            </w:pPr>
            <w:r>
              <w:rPr>
                <w:rFonts w:hint="default"/>
                <w:sz w:val="18"/>
              </w:rPr>
              <w:t>–</w:t>
            </w:r>
          </w:p>
        </w:tc>
        <w:tc>
          <w:tcPr>
            <w:tcW w:w="1530" w:type="dxa"/>
            <w:tcBorders>
              <w:top w:val="single" w:color="auto" w:sz="4" w:space="0"/>
              <w:left w:val="nil"/>
              <w:bottom w:val="single" w:color="auto" w:sz="4" w:space="0"/>
              <w:right w:val="single" w:color="auto" w:sz="4" w:space="0"/>
            </w:tcBorders>
            <w:vAlign w:val="center"/>
          </w:tcPr>
          <w:p>
            <w:pPr>
              <w:keepNext/>
              <w:keepLines/>
              <w:suppressLineNumbers w:val="0"/>
              <w:spacing w:before="0" w:beforeAutospacing="0" w:after="0" w:afterAutospacing="0"/>
              <w:ind w:left="0" w:right="0"/>
              <w:jc w:val="center"/>
              <w:rPr>
                <w:rFonts w:hint="default"/>
                <w:sz w:val="18"/>
                <w:lang w:eastAsia="zh-CN"/>
              </w:rPr>
            </w:pPr>
            <w:r>
              <w:rPr>
                <w:rFonts w:hint="eastAsia"/>
                <w:sz w:val="18"/>
                <w:lang w:eastAsia="zh-CN"/>
              </w:rPr>
              <w:t>1</w:t>
            </w:r>
            <w:r>
              <w:rPr>
                <w:rFonts w:hint="default"/>
                <w:sz w:val="18"/>
                <w:lang w:eastAsia="zh-CN"/>
              </w:rPr>
              <w:t>920</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spacing w:before="0" w:beforeAutospacing="0" w:after="0" w:afterAutospacing="0"/>
              <w:ind w:left="0" w:right="0"/>
              <w:jc w:val="center"/>
              <w:rPr>
                <w:rFonts w:hint="default"/>
                <w:sz w:val="18"/>
                <w:lang w:eastAsia="zh-CN"/>
              </w:rPr>
            </w:pPr>
            <w:r>
              <w:rPr>
                <w:rFonts w:hint="eastAsia"/>
                <w:sz w:val="18"/>
                <w:lang w:eastAsia="zh-CN"/>
              </w:rPr>
              <w:t>T</w:t>
            </w:r>
            <w:r>
              <w:rPr>
                <w:rFonts w:hint="default"/>
                <w:sz w:val="18"/>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8410" w:type="dxa"/>
            <w:gridSpan w:val="8"/>
            <w:tcBorders>
              <w:top w:val="single" w:color="auto" w:sz="4" w:space="0"/>
              <w:left w:val="single" w:color="auto" w:sz="4" w:space="0"/>
              <w:bottom w:val="single" w:color="auto" w:sz="4" w:space="0"/>
              <w:right w:val="single" w:color="auto" w:sz="4" w:space="0"/>
            </w:tcBorders>
            <w:vAlign w:val="center"/>
          </w:tcPr>
          <w:p>
            <w:pPr>
              <w:keepNext/>
              <w:keepLines/>
              <w:suppressLineNumbers w:val="0"/>
              <w:spacing w:before="0" w:beforeAutospacing="0" w:after="0" w:afterAutospacing="0"/>
              <w:ind w:left="0" w:right="0"/>
              <w:rPr>
                <w:rFonts w:hint="default"/>
                <w:sz w:val="18"/>
                <w:lang w:eastAsia="ja-JP"/>
              </w:rPr>
            </w:pPr>
          </w:p>
        </w:tc>
      </w:tr>
    </w:tbl>
    <w:p>
      <w:pPr>
        <w:pStyle w:val="58"/>
        <w:keepNext/>
        <w:keepLines/>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before="120" w:after="120" w:line="240" w:lineRule="auto"/>
        <w:ind w:leftChars="0"/>
        <w:textAlignment w:val="auto"/>
        <w:outlineLvl w:val="9"/>
        <w:rPr>
          <w:rFonts w:hint="eastAsia" w:ascii="Times New Roman" w:hAnsi="Times New Roman" w:cs="Times New Roman"/>
          <w:b/>
          <w:bCs/>
          <w:kern w:val="2"/>
          <w:sz w:val="21"/>
          <w:szCs w:val="22"/>
          <w:lang w:val="en-US" w:eastAsia="zh-CN" w:bidi="ar-SA"/>
        </w:rPr>
      </w:pPr>
    </w:p>
    <w:p>
      <w:pPr>
        <w:pStyle w:val="58"/>
        <w:keepNext/>
        <w:keepLines/>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before="120" w:after="120" w:line="240" w:lineRule="auto"/>
        <w:ind w:leftChars="0"/>
        <w:textAlignment w:val="auto"/>
        <w:outlineLvl w:val="9"/>
        <w:rPr>
          <w:rFonts w:hint="eastAsia" w:ascii="Times New Roman" w:hAnsi="Times New Roman" w:cs="Times New Roman"/>
          <w:b/>
          <w:bCs/>
          <w:kern w:val="2"/>
          <w:sz w:val="21"/>
          <w:szCs w:val="22"/>
          <w:lang w:val="en-US" w:eastAsia="zh-CN" w:bidi="ar-SA"/>
        </w:rPr>
      </w:pPr>
      <w:r>
        <w:rPr>
          <w:rFonts w:hint="eastAsia" w:ascii="Times New Roman" w:hAnsi="Times New Roman" w:cs="Times New Roman"/>
          <w:kern w:val="2"/>
          <w:sz w:val="21"/>
          <w:szCs w:val="22"/>
          <w:lang w:val="en-US" w:eastAsia="zh-CN" w:bidi="ar-SA"/>
        </w:rPr>
        <w:t xml:space="preserve">In addition, during the last RAN4 meeting, it is suggested have some further studies on the dedicated filtering between band n3 DL and n39 UL with some gap considered. The feasibility of this kind of filtering and also its insertion loss is under the evaluation, we propose to postpone the decision for this advanced hardware assumption for it. </w:t>
      </w:r>
    </w:p>
    <w:p>
      <w:pPr>
        <w:pStyle w:val="58"/>
        <w:keepNext/>
        <w:keepLines/>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before="120" w:after="120" w:line="240" w:lineRule="auto"/>
        <w:ind w:leftChars="0"/>
        <w:textAlignment w:val="auto"/>
        <w:outlineLvl w:val="9"/>
        <w:rPr>
          <w:rFonts w:hint="default" w:ascii="Times New Roman" w:hAnsi="Times New Roman" w:cs="Times New Roman"/>
          <w:b/>
          <w:bCs/>
          <w:kern w:val="2"/>
          <w:sz w:val="21"/>
          <w:szCs w:val="22"/>
          <w:lang w:val="en-US" w:eastAsia="zh-CN" w:bidi="ar-SA"/>
        </w:rPr>
      </w:pPr>
      <w:r>
        <w:rPr>
          <w:rFonts w:hint="eastAsia" w:ascii="Times New Roman" w:hAnsi="Times New Roman" w:cs="Times New Roman"/>
          <w:b/>
          <w:bCs/>
          <w:kern w:val="2"/>
          <w:sz w:val="21"/>
          <w:szCs w:val="22"/>
          <w:lang w:val="en-US" w:eastAsia="zh-CN" w:bidi="ar-SA"/>
        </w:rPr>
        <w:t xml:space="preserve">Proposal 1. The BCS for inter-band DL CA_n3A-n39A is proposed in table 1 by default assumption and further study on the feasibility of simultaneous n39 UL transmission and band n3 DL reception. </w:t>
      </w:r>
    </w:p>
    <w:p>
      <w:pPr>
        <w:pStyle w:val="58"/>
        <w:keepNext/>
        <w:keepLines/>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before="120" w:after="120" w:line="240" w:lineRule="auto"/>
        <w:ind w:leftChars="0"/>
        <w:textAlignment w:val="auto"/>
        <w:outlineLvl w:val="9"/>
        <w:rPr>
          <w:rFonts w:hint="default" w:ascii="Times New Roman" w:hAnsi="Times New Roman" w:eastAsia="宋体" w:cs="Times New Roman"/>
          <w:b w:val="0"/>
          <w:bCs w:val="0"/>
          <w:kern w:val="2"/>
          <w:sz w:val="21"/>
          <w:szCs w:val="22"/>
          <w:lang w:val="en-US" w:eastAsia="zh-CN" w:bidi="ar-SA"/>
        </w:rPr>
      </w:pPr>
      <w:r>
        <w:rPr>
          <w:rFonts w:hint="eastAsia" w:ascii="Times New Roman" w:hAnsi="Times New Roman" w:eastAsia="宋体" w:cs="Times New Roman"/>
          <w:b w:val="0"/>
          <w:bCs w:val="0"/>
          <w:kern w:val="2"/>
          <w:sz w:val="21"/>
          <w:szCs w:val="22"/>
          <w:lang w:val="en-US" w:eastAsia="zh-CN" w:bidi="ar-SA"/>
        </w:rPr>
        <w:t xml:space="preserve">Table 1.  Supported </w:t>
      </w:r>
      <w:r>
        <w:rPr>
          <w:rFonts w:hint="eastAsia" w:ascii="Times New Roman" w:hAnsi="Times New Roman" w:eastAsia="宋体" w:cs="Times New Roman"/>
          <w:b w:val="0"/>
          <w:bCs w:val="0"/>
          <w:kern w:val="2"/>
          <w:sz w:val="21"/>
          <w:szCs w:val="22"/>
          <w:lang w:val="en-US" w:eastAsia="ja-JP" w:bidi="ar-SA"/>
        </w:rPr>
        <w:t>b</w:t>
      </w:r>
      <w:r>
        <w:rPr>
          <w:rFonts w:hint="eastAsia" w:ascii="Times New Roman" w:hAnsi="Times New Roman" w:eastAsia="宋体" w:cs="Times New Roman"/>
          <w:b w:val="0"/>
          <w:bCs w:val="0"/>
          <w:kern w:val="2"/>
          <w:sz w:val="21"/>
          <w:szCs w:val="22"/>
          <w:lang w:val="en-US" w:eastAsia="zh-CN" w:bidi="ar-SA"/>
        </w:rPr>
        <w:t>andwidths per CA band combination of band n3+n39</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37"/>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eastAsia="zh-CN"/>
              </w:rPr>
            </w:pPr>
            <w:r>
              <w:rPr>
                <w:rFonts w:hint="default"/>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37"/>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eastAsia="zh-CN"/>
              </w:rPr>
            </w:pPr>
            <w:r>
              <w:rPr>
                <w:rFonts w:hint="default"/>
              </w:rPr>
              <w:t>Uplink CA configuration</w:t>
            </w:r>
            <w:r>
              <w:rPr>
                <w:rFonts w:hint="eastAsia"/>
                <w:lang w:eastAsia="zh-CN"/>
              </w:rPr>
              <w:t xml:space="preserve"> </w:t>
            </w:r>
            <w:r>
              <w:rPr>
                <w:rFonts w:hint="default"/>
              </w:rPr>
              <w:t>or single uplink carrier</w:t>
            </w:r>
          </w:p>
        </w:tc>
        <w:tc>
          <w:tcPr>
            <w:tcW w:w="730" w:type="dxa"/>
            <w:tcBorders>
              <w:left w:val="single" w:color="auto" w:sz="4" w:space="0"/>
              <w:right w:val="single" w:color="auto" w:sz="4" w:space="0"/>
            </w:tcBorders>
            <w:vAlign w:val="center"/>
          </w:tcPr>
          <w:p>
            <w:pPr>
              <w:pStyle w:val="37"/>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cs="Arial"/>
                <w:szCs w:val="18"/>
                <w:lang w:val="en-US" w:eastAsia="zh-CN" w:bidi="ar"/>
              </w:rPr>
            </w:pPr>
            <w:r>
              <w:rPr>
                <w:rFonts w:hint="eastAsia"/>
                <w:lang w:eastAsia="zh-CN"/>
              </w:rPr>
              <w:t>C</w:t>
            </w:r>
            <w:r>
              <w:rPr>
                <w:rFonts w:hint="default"/>
                <w:lang w:eastAsia="zh-CN"/>
              </w:rPr>
              <w:t xml:space="preserve">hannel bandwidth </w:t>
            </w:r>
            <w:r>
              <w:rPr>
                <w:rFonts w:hint="eastAsia"/>
                <w:lang w:eastAsia="zh-CN"/>
              </w:rPr>
              <w:t>(</w:t>
            </w:r>
            <w:r>
              <w:rPr>
                <w:rFonts w:hint="default"/>
                <w:lang w:eastAsia="zh-CN"/>
              </w:rPr>
              <w:t>MHz)</w:t>
            </w:r>
          </w:p>
        </w:tc>
        <w:tc>
          <w:tcPr>
            <w:tcW w:w="1360" w:type="dxa"/>
            <w:tcBorders>
              <w:left w:val="single" w:color="auto" w:sz="4" w:space="0"/>
              <w:bottom w:val="nil"/>
              <w:right w:val="single" w:color="auto" w:sz="4" w:space="0"/>
            </w:tcBorders>
            <w:shd w:val="clear" w:color="auto" w:fill="auto"/>
            <w:vAlign w:val="center"/>
          </w:tcPr>
          <w:p>
            <w:pPr>
              <w:pStyle w:val="37"/>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eastAsia"/>
                <w:szCs w:val="18"/>
                <w:lang w:eastAsia="zh-CN"/>
              </w:rPr>
              <w:t>CA</w:t>
            </w:r>
            <w:r>
              <w:rPr>
                <w:rFonts w:hint="default"/>
                <w:szCs w:val="18"/>
              </w:rPr>
              <w:t>_</w:t>
            </w:r>
            <w:r>
              <w:rPr>
                <w:rFonts w:hint="eastAsia"/>
                <w:szCs w:val="18"/>
                <w:lang w:val="en-US" w:eastAsia="zh-CN"/>
              </w:rPr>
              <w:t>n</w:t>
            </w:r>
            <w:r>
              <w:rPr>
                <w:rFonts w:hint="default"/>
                <w:szCs w:val="18"/>
                <w:lang w:val="en-US" w:eastAsia="zh-CN"/>
              </w:rPr>
              <w:t>3</w:t>
            </w:r>
            <w:r>
              <w:rPr>
                <w:rFonts w:hint="default"/>
                <w:szCs w:val="18"/>
                <w:lang w:val="sv-SE" w:eastAsia="ja-JP"/>
              </w:rPr>
              <w:t>A-</w:t>
            </w:r>
            <w:r>
              <w:rPr>
                <w:rFonts w:hint="eastAsia"/>
                <w:szCs w:val="18"/>
                <w:lang w:val="en-US" w:eastAsia="zh-CN"/>
              </w:rPr>
              <w:t>n</w:t>
            </w:r>
            <w:r>
              <w:rPr>
                <w:rFonts w:hint="default"/>
                <w:szCs w:val="18"/>
                <w:lang w:val="en-US" w:eastAsia="zh-CN"/>
              </w:rPr>
              <w:t>39</w:t>
            </w:r>
            <w:r>
              <w:rPr>
                <w:rFonts w:hint="default"/>
                <w:szCs w:val="18"/>
                <w:lang w:val="sv-SE" w:eastAsia="ja-JP"/>
              </w:rPr>
              <w:t>A</w:t>
            </w:r>
            <w:r>
              <w:rPr>
                <w:rFonts w:hint="default"/>
                <w:szCs w:val="18"/>
                <w:vertAlign w:val="superscript"/>
                <w:lang w:val="sv-SE" w:eastAsia="ja-JP"/>
              </w:rPr>
              <w:t>X</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eastAsia"/>
                <w:szCs w:val="18"/>
                <w:lang w:val="en-US" w:eastAsia="zh-CN"/>
              </w:rPr>
              <w:t>-</w:t>
            </w:r>
          </w:p>
        </w:tc>
        <w:tc>
          <w:tcPr>
            <w:tcW w:w="730" w:type="dxa"/>
            <w:tcBorders>
              <w:left w:val="single" w:color="auto" w:sz="4" w:space="0"/>
              <w:right w:val="single" w:color="auto" w:sz="4" w:space="0"/>
            </w:tcBorders>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center"/>
              <w:textAlignment w:val="bottom"/>
              <w:rPr>
                <w:rFonts w:hint="default"/>
                <w:szCs w:val="18"/>
                <w:lang w:val="en-US" w:eastAsia="zh-CN"/>
              </w:rPr>
            </w:pPr>
            <w:r>
              <w:rPr>
                <w:rFonts w:hint="default" w:ascii="Arial" w:hAnsi="Arial" w:cs="Arial"/>
                <w:sz w:val="18"/>
                <w:szCs w:val="18"/>
                <w:lang w:val="en-US" w:eastAsia="zh-CN" w:bidi="ar"/>
              </w:rPr>
              <w:t>5, 10, 15, 20, 25, 30</w:t>
            </w:r>
            <w:r>
              <w:rPr>
                <w:rFonts w:hint="eastAsia" w:ascii="Arial" w:hAnsi="Arial" w:cs="Arial"/>
                <w:sz w:val="18"/>
                <w:szCs w:val="18"/>
                <w:lang w:val="en-US" w:eastAsia="zh-CN" w:bidi="ar"/>
              </w:rPr>
              <w:t>, 35, 40, 45, 50</w:t>
            </w:r>
          </w:p>
        </w:tc>
        <w:tc>
          <w:tcPr>
            <w:tcW w:w="1360" w:type="dxa"/>
            <w:tcBorders>
              <w:left w:val="single" w:color="auto" w:sz="4" w:space="0"/>
              <w:bottom w:val="nil"/>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center"/>
              <w:textAlignment w:val="bottom"/>
              <w:rPr>
                <w:rFonts w:hint="default"/>
                <w:szCs w:val="18"/>
                <w:lang w:val="en-US" w:eastAsia="zh-CN"/>
              </w:rPr>
            </w:pPr>
            <w:r>
              <w:rPr>
                <w:rFonts w:hint="default" w:ascii="Arial" w:hAnsi="Arial" w:cs="Arial"/>
                <w:sz w:val="18"/>
                <w:szCs w:val="18"/>
                <w:lang w:val="en-US" w:eastAsia="zh-CN" w:bidi="ar"/>
              </w:rPr>
              <w:t>5, 10, 15, 20, 25, 30, 35, 40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left"/>
              <w:rPr>
                <w:rFonts w:hint="default"/>
                <w:szCs w:val="18"/>
                <w:lang w:val="en-US" w:eastAsia="zh-CN"/>
              </w:rPr>
            </w:pPr>
            <w:r>
              <w:rPr>
                <w:rFonts w:hint="eastAsia"/>
                <w:szCs w:val="18"/>
                <w:lang w:val="en-US" w:eastAsia="zh-CN"/>
              </w:rPr>
              <w:t>[N</w:t>
            </w:r>
            <w:r>
              <w:rPr>
                <w:rFonts w:hint="default"/>
                <w:szCs w:val="18"/>
                <w:lang w:val="en-US" w:eastAsia="zh-CN"/>
              </w:rPr>
              <w:t>OTE X: Uplink is only in n3 for CA_n3-n39</w:t>
            </w:r>
            <w:r>
              <w:rPr>
                <w:rFonts w:hint="eastAsia"/>
                <w:szCs w:val="18"/>
                <w:lang w:val="en-US" w:eastAsia="zh-CN"/>
              </w:rPr>
              <w:t>]</w:t>
            </w:r>
          </w:p>
        </w:tc>
      </w:tr>
    </w:tbl>
    <w:p>
      <w:pPr>
        <w:pStyle w:val="58"/>
        <w:keepNext/>
        <w:keepLines/>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pPr>
      <w:r>
        <w:rPr>
          <w:rFonts w:hint="eastAsia"/>
          <w:sz w:val="28"/>
          <w:szCs w:val="28"/>
          <w:lang w:val="en-US" w:eastAsia="zh-CN"/>
        </w:rPr>
        <w:t xml:space="preserve">2.2. RF requirements for Inter-band CA </w:t>
      </w:r>
    </w:p>
    <w:p>
      <w:pPr>
        <w:keepNext/>
        <w:keepLines/>
        <w:pageBreakBefore w:val="0"/>
        <w:tabs>
          <w:tab w:val="left" w:pos="2127"/>
        </w:tabs>
        <w:kinsoku/>
        <w:wordWrap/>
        <w:topLinePunct w:val="0"/>
        <w:bidi w:val="0"/>
        <w:snapToGrid/>
        <w:spacing w:after="0"/>
        <w:rPr>
          <w:rFonts w:hint="default"/>
          <w:lang w:val="en-US" w:eastAsia="zh-CN"/>
        </w:rPr>
      </w:pPr>
      <w:r>
        <w:rPr>
          <w:rFonts w:hint="eastAsia"/>
          <w:lang w:val="en-US" w:eastAsia="zh-CN"/>
        </w:rPr>
        <w:t xml:space="preserve">In this section, we provide some initial analysis on the overall requirement for ATG UE supporting inter-band DL CA and also provided the summary of proposals for it. </w:t>
      </w:r>
    </w:p>
    <w:p>
      <w:pPr>
        <w:keepNext/>
        <w:keepLines/>
        <w:pageBreakBefore w:val="0"/>
        <w:tabs>
          <w:tab w:val="left" w:pos="2127"/>
        </w:tabs>
        <w:kinsoku/>
        <w:wordWrap/>
        <w:topLinePunct w:val="0"/>
        <w:bidi w:val="0"/>
        <w:snapToGrid/>
        <w:spacing w:after="0"/>
        <w:jc w:val="center"/>
        <w:rPr>
          <w:rFonts w:hint="eastAsia"/>
          <w:sz w:val="28"/>
          <w:szCs w:val="28"/>
          <w:lang w:val="en-US" w:eastAsia="zh-CN"/>
        </w:rPr>
      </w:pPr>
      <w:r>
        <w:rPr>
          <w:rFonts w:hint="eastAsia"/>
          <w:lang w:val="en-US" w:eastAsia="zh-CN"/>
        </w:rPr>
        <w:t>Table 2. Analysis and summary of proposals for ATG UE supporting inter-band DL CA</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1"/>
        <w:gridCol w:w="4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default"/>
                <w:vertAlign w:val="baseline"/>
                <w:lang w:val="en-US" w:eastAsia="zh-CN"/>
              </w:rPr>
            </w:pPr>
            <w:r>
              <w:rPr>
                <w:rFonts w:hint="eastAsia"/>
                <w:vertAlign w:val="baseline"/>
                <w:lang w:val="en-US" w:eastAsia="zh-CN"/>
              </w:rPr>
              <w:t>The existing RF requirement for inter-band CA</w:t>
            </w: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r>
              <w:rPr>
                <w:rFonts w:hint="eastAsia"/>
                <w:vertAlign w:val="baseline"/>
                <w:lang w:val="en-US" w:eastAsia="zh-CN"/>
              </w:rPr>
              <w:t>ATG UE supporting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vertAlign w:val="baseline"/>
                <w:lang w:val="en-US" w:eastAsia="zh-CN"/>
              </w:rPr>
            </w:pPr>
            <w:bookmarkStart w:id="7" w:name="_Toc69084083"/>
            <w:bookmarkStart w:id="8" w:name="_Toc83580414"/>
            <w:bookmarkStart w:id="9" w:name="_Toc84413532"/>
            <w:bookmarkStart w:id="10" w:name="_Toc68230670"/>
            <w:bookmarkStart w:id="11" w:name="_Toc76509114"/>
            <w:bookmarkStart w:id="12" w:name="_Toc75467092"/>
            <w:bookmarkStart w:id="13" w:name="_Toc61372729"/>
            <w:bookmarkStart w:id="14" w:name="_Toc84404923"/>
            <w:bookmarkStart w:id="15" w:name="_Toc76718104"/>
            <w:bookmarkStart w:id="16" w:name="_Toc61367346"/>
            <w:r>
              <w:rPr>
                <w:rFonts w:hint="eastAsia" w:ascii="Times New Roman" w:hAnsi="Times New Roman" w:eastAsia="宋体" w:cs="Times New Roman"/>
                <w:b w:val="0"/>
                <w:bCs w:val="0"/>
                <w:kern w:val="2"/>
                <w:sz w:val="21"/>
                <w:szCs w:val="22"/>
                <w:vertAlign w:val="baseline"/>
                <w:lang w:val="en-US" w:eastAsia="zh-CN" w:bidi="ar-SA"/>
              </w:rPr>
              <w:t>6.2A.1.3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UE maximum output power for Inter-band CA</w:t>
            </w:r>
            <w:bookmarkEnd w:id="7"/>
            <w:bookmarkEnd w:id="8"/>
            <w:bookmarkEnd w:id="9"/>
            <w:bookmarkEnd w:id="10"/>
            <w:bookmarkEnd w:id="11"/>
            <w:bookmarkEnd w:id="12"/>
            <w:bookmarkEnd w:id="13"/>
            <w:bookmarkEnd w:id="14"/>
            <w:bookmarkEnd w:id="15"/>
            <w:bookmarkEnd w:id="16"/>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default"/>
                <w:vertAlign w:val="baseline"/>
                <w:lang w:val="en-US" w:eastAsia="zh-CN"/>
              </w:rPr>
            </w:pPr>
            <w:r>
              <w:rPr>
                <w:rFonts w:hint="eastAsia"/>
                <w:vertAlign w:val="baseline"/>
                <w:lang w:val="en-US" w:eastAsia="zh-CN"/>
              </w:rPr>
              <w:t>No impacts, to follow Rel-18 single carrier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r>
              <w:rPr>
                <w:rFonts w:hint="eastAsia" w:ascii="Times New Roman" w:hAnsi="Times New Roman" w:eastAsia="宋体" w:cs="Times New Roman"/>
                <w:b w:val="0"/>
                <w:bCs w:val="0"/>
                <w:kern w:val="2"/>
                <w:sz w:val="21"/>
                <w:szCs w:val="22"/>
                <w:vertAlign w:val="baseline"/>
                <w:lang w:val="en-US" w:eastAsia="zh-CN" w:bidi="ar-SA"/>
              </w:rPr>
              <w:t>6.2A.2.3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UE maximum output power reduction for Inter-band CA</w:t>
            </w:r>
          </w:p>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 to follow Rel-18 single carrier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6"/>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r>
              <w:rPr>
                <w:rFonts w:hint="eastAsia" w:ascii="Times New Roman" w:hAnsi="Times New Roman" w:eastAsia="宋体" w:cs="Times New Roman"/>
                <w:b w:val="0"/>
                <w:bCs w:val="0"/>
                <w:kern w:val="2"/>
                <w:sz w:val="21"/>
                <w:szCs w:val="22"/>
                <w:vertAlign w:val="baseline"/>
                <w:lang w:val="en-US" w:eastAsia="zh-CN" w:bidi="ar-SA"/>
              </w:rPr>
              <w:t>6.2A.3.1.3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UE additional maximum output power reduction for Inter-band CA</w:t>
            </w:r>
          </w:p>
          <w:p>
            <w:pPr>
              <w:keepNext/>
              <w:keepLines/>
              <w:pageBreakBefore w:val="0"/>
              <w:widowControl/>
              <w:suppressLineNumbers w:val="0"/>
              <w:kinsoku/>
              <w:wordWrap/>
              <w:topLinePunct w:val="0"/>
              <w:bidi w:val="0"/>
              <w:snapToGrid/>
              <w:spacing w:before="0" w:beforeAutospacing="0" w:afterAutospacing="0"/>
              <w:ind w:left="0" w:right="0"/>
              <w:jc w:val="left"/>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 to follow Rel-18 single carrier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6"/>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17" w:name="OLE_LINK5"/>
            <w:bookmarkStart w:id="18" w:name="_Toc83580433"/>
            <w:bookmarkStart w:id="19" w:name="_Toc45888720"/>
            <w:bookmarkStart w:id="20" w:name="_Toc75467111"/>
            <w:bookmarkStart w:id="21" w:name="_Toc37251315"/>
            <w:bookmarkStart w:id="22" w:name="_Toc21344272"/>
            <w:bookmarkStart w:id="23" w:name="_Toc69084102"/>
            <w:bookmarkStart w:id="24" w:name="_Toc61367365"/>
            <w:bookmarkStart w:id="25" w:name="_Toc29802807"/>
            <w:bookmarkStart w:id="26" w:name="_Toc61372748"/>
            <w:bookmarkStart w:id="27" w:name="_Toc36107549"/>
            <w:bookmarkStart w:id="28" w:name="_Toc45888121"/>
            <w:bookmarkStart w:id="29" w:name="_Toc84413551"/>
            <w:bookmarkStart w:id="30" w:name="_Toc76509133"/>
            <w:bookmarkStart w:id="31" w:name="_Toc84404942"/>
            <w:bookmarkStart w:id="32" w:name="_Toc76718123"/>
            <w:bookmarkStart w:id="33" w:name="_Toc29802182"/>
            <w:bookmarkStart w:id="34" w:name="_Toc68230689"/>
            <w:bookmarkStart w:id="35" w:name="_Toc29801758"/>
            <w:r>
              <w:rPr>
                <w:rFonts w:hint="eastAsia" w:ascii="Times New Roman" w:hAnsi="Times New Roman" w:eastAsia="宋体" w:cs="Times New Roman"/>
                <w:b w:val="0"/>
                <w:bCs w:val="0"/>
                <w:kern w:val="2"/>
                <w:sz w:val="21"/>
                <w:szCs w:val="22"/>
                <w:vertAlign w:val="baseline"/>
                <w:lang w:val="en-US" w:eastAsia="zh-CN" w:bidi="ar-SA"/>
              </w:rPr>
              <w:t>6.2A.4.1.3</w:t>
            </w:r>
            <w:r>
              <w:rPr>
                <w:rFonts w:hint="eastAsia" w:ascii="Times New Roman" w:hAnsi="Times New Roman" w:cs="Times New Roman"/>
                <w:b w:val="0"/>
                <w:bCs w:val="0"/>
                <w:kern w:val="2"/>
                <w:sz w:val="21"/>
                <w:szCs w:val="22"/>
                <w:vertAlign w:val="baseline"/>
                <w:lang w:val="en-US" w:eastAsia="zh-CN" w:bidi="ar-SA"/>
              </w:rPr>
              <w:t xml:space="preserve"> </w:t>
            </w:r>
            <w:bookmarkEnd w:id="17"/>
            <w:r>
              <w:rPr>
                <w:rFonts w:hint="eastAsia" w:ascii="Times New Roman" w:hAnsi="Times New Roman" w:eastAsia="宋体" w:cs="Times New Roman"/>
                <w:b w:val="0"/>
                <w:bCs w:val="0"/>
                <w:kern w:val="2"/>
                <w:sz w:val="21"/>
                <w:szCs w:val="22"/>
                <w:vertAlign w:val="baseline"/>
                <w:lang w:val="en-US" w:eastAsia="zh-CN" w:bidi="ar-SA"/>
              </w:rPr>
              <w:t>Configured transmitted power for Inter-band CA</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pPr>
              <w:keepNext/>
              <w:keepLines/>
              <w:pageBreakBefore w:val="0"/>
              <w:widowControl/>
              <w:suppressLineNumbers w:val="0"/>
              <w:kinsoku/>
              <w:wordWrap/>
              <w:topLinePunct w:val="0"/>
              <w:bidi w:val="0"/>
              <w:snapToGrid/>
              <w:spacing w:before="0" w:beforeAutospacing="0" w:afterAutospacing="0"/>
              <w:ind w:left="0" w:right="0"/>
              <w:jc w:val="left"/>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default"/>
                <w:vertAlign w:val="baseline"/>
                <w:lang w:val="en-US" w:eastAsia="zh-CN"/>
              </w:rPr>
            </w:pPr>
            <w:r>
              <w:rPr>
                <w:rFonts w:hint="eastAsia"/>
                <w:vertAlign w:val="baseline"/>
                <w:lang w:val="en-US" w:eastAsia="zh-CN"/>
              </w:rPr>
              <w:t>No impacts, to follow Rel-18 single carrier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36" w:name="_Toc61372826"/>
            <w:bookmarkStart w:id="37" w:name="_Toc83580523"/>
            <w:bookmarkStart w:id="38" w:name="_Toc76509212"/>
            <w:bookmarkStart w:id="39" w:name="_Toc84413641"/>
            <w:bookmarkStart w:id="40" w:name="_Toc75467190"/>
            <w:bookmarkStart w:id="41" w:name="_Toc84405032"/>
            <w:bookmarkStart w:id="42" w:name="_Toc69084180"/>
            <w:bookmarkStart w:id="43" w:name="_Toc61367443"/>
            <w:bookmarkStart w:id="44" w:name="_Toc68230767"/>
            <w:bookmarkStart w:id="45" w:name="_Toc76718202"/>
            <w:r>
              <w:rPr>
                <w:rFonts w:hint="eastAsia" w:ascii="Times New Roman" w:hAnsi="Times New Roman" w:eastAsia="宋体" w:cs="Times New Roman"/>
                <w:b w:val="0"/>
                <w:bCs w:val="0"/>
                <w:kern w:val="2"/>
                <w:sz w:val="21"/>
                <w:szCs w:val="22"/>
                <w:vertAlign w:val="baseline"/>
                <w:lang w:val="en-US" w:eastAsia="zh-CN" w:bidi="ar-SA"/>
              </w:rPr>
              <w:t>6.3A.1.3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Minimum output power for inter-band CA</w:t>
            </w:r>
            <w:bookmarkEnd w:id="36"/>
            <w:bookmarkEnd w:id="37"/>
            <w:bookmarkEnd w:id="38"/>
            <w:bookmarkEnd w:id="39"/>
            <w:bookmarkEnd w:id="40"/>
            <w:bookmarkEnd w:id="41"/>
            <w:bookmarkEnd w:id="42"/>
            <w:bookmarkEnd w:id="43"/>
            <w:bookmarkEnd w:id="44"/>
            <w:bookmarkEnd w:id="45"/>
          </w:p>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default"/>
                <w:vertAlign w:val="baseline"/>
                <w:lang w:val="en-US" w:eastAsia="zh-CN"/>
              </w:rPr>
            </w:pPr>
            <w:r>
              <w:rPr>
                <w:rFonts w:hint="eastAsia"/>
                <w:vertAlign w:val="baseline"/>
                <w:lang w:val="en-US" w:eastAsia="zh-CN"/>
              </w:rPr>
              <w:t>No impacts, to follow Rel-18 single carrier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r>
              <w:rPr>
                <w:rFonts w:hint="eastAsia" w:ascii="Times New Roman" w:hAnsi="Times New Roman" w:eastAsia="宋体" w:cs="Times New Roman"/>
                <w:b w:val="0"/>
                <w:bCs w:val="0"/>
                <w:kern w:val="2"/>
                <w:sz w:val="21"/>
                <w:szCs w:val="22"/>
                <w:vertAlign w:val="baseline"/>
                <w:lang w:val="en-US" w:eastAsia="zh-CN" w:bidi="ar-SA"/>
              </w:rPr>
              <w:t>6.3A.2.3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Transmit OFF power for inter-band CA</w:t>
            </w: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 to follow Rel-18 single carrier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r>
              <w:rPr>
                <w:rFonts w:hint="eastAsia" w:ascii="Times New Roman" w:hAnsi="Times New Roman" w:eastAsia="宋体" w:cs="Times New Roman"/>
                <w:b w:val="0"/>
                <w:bCs w:val="0"/>
                <w:kern w:val="2"/>
                <w:sz w:val="21"/>
                <w:szCs w:val="22"/>
                <w:vertAlign w:val="baseline"/>
                <w:lang w:val="en-US" w:eastAsia="zh-CN" w:bidi="ar-SA"/>
              </w:rPr>
              <w:t>6.3A.3.3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Transmit ON/OFF time mask for inter-band CA</w:t>
            </w: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 to follow Rel-18 single carrier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46" w:name="_Toc69084208"/>
            <w:bookmarkStart w:id="47" w:name="_Toc76718230"/>
            <w:bookmarkStart w:id="48" w:name="_Toc83580551"/>
            <w:bookmarkStart w:id="49" w:name="_Toc84405060"/>
            <w:bookmarkStart w:id="50" w:name="_Toc76509240"/>
            <w:bookmarkStart w:id="51" w:name="_Toc61367468"/>
            <w:bookmarkStart w:id="52" w:name="_Toc75467218"/>
            <w:bookmarkStart w:id="53" w:name="_Toc84413669"/>
            <w:bookmarkStart w:id="54" w:name="_Toc68230795"/>
            <w:bookmarkStart w:id="55" w:name="_Toc61372851"/>
            <w:r>
              <w:rPr>
                <w:rFonts w:hint="eastAsia" w:ascii="Times New Roman" w:hAnsi="Times New Roman" w:eastAsia="宋体" w:cs="Times New Roman"/>
                <w:b w:val="0"/>
                <w:bCs w:val="0"/>
                <w:kern w:val="2"/>
                <w:sz w:val="21"/>
                <w:szCs w:val="22"/>
                <w:vertAlign w:val="baseline"/>
                <w:lang w:val="en-US" w:eastAsia="zh-CN" w:bidi="ar-SA"/>
              </w:rPr>
              <w:t>6.3A.4.3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Power control for inter-band CA</w:t>
            </w:r>
            <w:bookmarkEnd w:id="46"/>
            <w:bookmarkEnd w:id="47"/>
            <w:bookmarkEnd w:id="48"/>
            <w:bookmarkEnd w:id="49"/>
            <w:bookmarkEnd w:id="50"/>
            <w:bookmarkEnd w:id="51"/>
            <w:bookmarkEnd w:id="52"/>
            <w:bookmarkEnd w:id="53"/>
            <w:bookmarkEnd w:id="54"/>
            <w:bookmarkEnd w:id="55"/>
          </w:p>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r>
              <w:rPr>
                <w:rFonts w:hint="eastAsia" w:ascii="Times New Roman" w:hAnsi="Times New Roman" w:eastAsia="宋体" w:cs="Times New Roman"/>
                <w:b w:val="0"/>
                <w:bCs w:val="0"/>
                <w:kern w:val="2"/>
                <w:sz w:val="21"/>
                <w:szCs w:val="22"/>
                <w:vertAlign w:val="baseline"/>
                <w:lang w:val="en-US" w:eastAsia="zh-CN" w:bidi="ar-SA"/>
              </w:rPr>
              <w:t>No requirements unique to CA operation are defined.</w:t>
            </w:r>
          </w:p>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 to follow Rel-18 single carrier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56" w:name="_Toc84405128"/>
            <w:bookmarkStart w:id="57" w:name="_Toc68230853"/>
            <w:bookmarkStart w:id="58" w:name="_Toc83580619"/>
            <w:bookmarkStart w:id="59" w:name="_Toc76509298"/>
            <w:bookmarkStart w:id="60" w:name="_Toc76718288"/>
            <w:bookmarkStart w:id="61" w:name="_Toc75467276"/>
            <w:bookmarkStart w:id="62" w:name="_Toc84413737"/>
            <w:bookmarkStart w:id="63" w:name="_Toc69084266"/>
            <w:bookmarkStart w:id="64" w:name="_Toc61367522"/>
            <w:bookmarkStart w:id="65" w:name="_Toc61372905"/>
            <w:r>
              <w:rPr>
                <w:rFonts w:hint="eastAsia" w:ascii="Times New Roman" w:hAnsi="Times New Roman" w:eastAsia="宋体" w:cs="Times New Roman"/>
                <w:b w:val="0"/>
                <w:bCs w:val="0"/>
                <w:kern w:val="2"/>
                <w:sz w:val="21"/>
                <w:szCs w:val="22"/>
                <w:vertAlign w:val="baseline"/>
                <w:lang w:val="en-US" w:eastAsia="zh-CN" w:bidi="ar-SA"/>
              </w:rPr>
              <w:t>6.4A.1.3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Frequency error for inter-band CA</w:t>
            </w:r>
            <w:bookmarkEnd w:id="56"/>
            <w:bookmarkEnd w:id="57"/>
            <w:bookmarkEnd w:id="58"/>
            <w:bookmarkEnd w:id="59"/>
            <w:bookmarkEnd w:id="60"/>
            <w:bookmarkEnd w:id="61"/>
            <w:bookmarkEnd w:id="62"/>
            <w:bookmarkEnd w:id="63"/>
            <w:bookmarkEnd w:id="64"/>
            <w:bookmarkEnd w:id="65"/>
          </w:p>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 to follow Rel-18 single carrier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r>
              <w:rPr>
                <w:rFonts w:hint="eastAsia" w:ascii="Times New Roman" w:hAnsi="Times New Roman" w:eastAsia="宋体" w:cs="Times New Roman"/>
                <w:b w:val="0"/>
                <w:bCs w:val="0"/>
                <w:kern w:val="2"/>
                <w:sz w:val="21"/>
                <w:szCs w:val="22"/>
                <w:vertAlign w:val="baseline"/>
                <w:lang w:val="en-US" w:eastAsia="zh-CN" w:bidi="ar-SA"/>
              </w:rPr>
              <w:t>6.4A.2.3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Transmit modulation quality for inter-band CA</w:t>
            </w:r>
          </w:p>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 to follow Rel-18 single carrier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66" w:name="_Toc83580723"/>
            <w:bookmarkStart w:id="67" w:name="_Toc61367617"/>
            <w:bookmarkStart w:id="68" w:name="_Toc69084362"/>
            <w:bookmarkStart w:id="69" w:name="_Toc84405232"/>
            <w:bookmarkStart w:id="70" w:name="_Toc75467372"/>
            <w:bookmarkStart w:id="71" w:name="_Toc76718384"/>
            <w:bookmarkStart w:id="72" w:name="_Toc68230949"/>
            <w:bookmarkStart w:id="73" w:name="_Toc84413841"/>
            <w:bookmarkStart w:id="74" w:name="_Toc76509394"/>
            <w:bookmarkStart w:id="75" w:name="_Toc61373000"/>
            <w:r>
              <w:rPr>
                <w:rFonts w:hint="eastAsia" w:ascii="Times New Roman" w:hAnsi="Times New Roman" w:eastAsia="宋体" w:cs="Times New Roman"/>
                <w:b w:val="0"/>
                <w:bCs w:val="0"/>
                <w:kern w:val="2"/>
                <w:sz w:val="21"/>
                <w:szCs w:val="22"/>
                <w:vertAlign w:val="baseline"/>
                <w:lang w:val="en-US" w:eastAsia="zh-CN" w:bidi="ar-SA"/>
              </w:rPr>
              <w:t>6.5A.1.3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Occupied bandwidth for Inter-band CA</w:t>
            </w:r>
            <w:bookmarkEnd w:id="66"/>
            <w:bookmarkEnd w:id="67"/>
            <w:bookmarkEnd w:id="68"/>
            <w:bookmarkEnd w:id="69"/>
            <w:bookmarkEnd w:id="70"/>
            <w:bookmarkEnd w:id="71"/>
            <w:bookmarkEnd w:id="72"/>
            <w:bookmarkEnd w:id="73"/>
            <w:bookmarkEnd w:id="74"/>
            <w:bookmarkEnd w:id="75"/>
          </w:p>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 to follow Rel-18 single carrier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6"/>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r>
              <w:rPr>
                <w:rFonts w:hint="eastAsia" w:ascii="Times New Roman" w:hAnsi="Times New Roman" w:eastAsia="宋体" w:cs="Times New Roman"/>
                <w:b w:val="0"/>
                <w:bCs w:val="0"/>
                <w:kern w:val="2"/>
                <w:sz w:val="21"/>
                <w:szCs w:val="22"/>
                <w:vertAlign w:val="baseline"/>
                <w:lang w:val="en-US" w:eastAsia="zh-CN" w:bidi="ar-SA"/>
              </w:rPr>
              <w:t>6.5A.2.2.3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Spectrum emission mask for Inter-band CA</w:t>
            </w:r>
          </w:p>
          <w:p>
            <w:pPr>
              <w:keepNext/>
              <w:keepLines/>
              <w:pageBreakBefore w:val="0"/>
              <w:widowControl/>
              <w:suppressLineNumbers w:val="0"/>
              <w:tabs>
                <w:tab w:val="left" w:pos="605"/>
              </w:tabs>
              <w:kinsoku/>
              <w:wordWrap/>
              <w:topLinePunct w:val="0"/>
              <w:bidi w:val="0"/>
              <w:snapToGrid/>
              <w:spacing w:before="0" w:beforeAutospacing="0" w:afterAutospacing="0"/>
              <w:ind w:left="0" w:right="0"/>
              <w:jc w:val="left"/>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 to follow Rel-18 single carrier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6"/>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76" w:name="_Toc84405243"/>
            <w:bookmarkStart w:id="77" w:name="_Toc83580734"/>
            <w:bookmarkStart w:id="78" w:name="_Toc84413852"/>
            <w:bookmarkStart w:id="79" w:name="_Toc76718396"/>
            <w:bookmarkStart w:id="80" w:name="_Toc61373012"/>
            <w:bookmarkStart w:id="81" w:name="_Toc76509406"/>
            <w:bookmarkStart w:id="82" w:name="_Toc61367629"/>
            <w:bookmarkStart w:id="83" w:name="_Toc68230961"/>
            <w:bookmarkStart w:id="84" w:name="_Toc75467384"/>
            <w:bookmarkStart w:id="85" w:name="_Toc69084374"/>
            <w:r>
              <w:rPr>
                <w:rFonts w:hint="eastAsia" w:ascii="Times New Roman" w:hAnsi="Times New Roman" w:eastAsia="宋体" w:cs="Times New Roman"/>
                <w:b w:val="0"/>
                <w:bCs w:val="0"/>
                <w:kern w:val="2"/>
                <w:sz w:val="21"/>
                <w:szCs w:val="22"/>
                <w:vertAlign w:val="baseline"/>
                <w:lang w:val="en-US" w:eastAsia="zh-CN" w:bidi="ar-SA"/>
              </w:rPr>
              <w:t>6.5A.2.3.3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Additional spectrum emission mask for Inter-band CA</w:t>
            </w:r>
            <w:bookmarkEnd w:id="76"/>
            <w:bookmarkEnd w:id="77"/>
            <w:bookmarkEnd w:id="78"/>
            <w:bookmarkEnd w:id="79"/>
            <w:bookmarkEnd w:id="80"/>
            <w:bookmarkEnd w:id="81"/>
            <w:bookmarkEnd w:id="82"/>
            <w:bookmarkEnd w:id="83"/>
            <w:bookmarkEnd w:id="84"/>
            <w:bookmarkEnd w:id="85"/>
          </w:p>
          <w:p>
            <w:pPr>
              <w:keepNext/>
              <w:keepLines/>
              <w:pageBreakBefore w:val="0"/>
              <w:widowControl/>
              <w:suppressLineNumbers w:val="0"/>
              <w:tabs>
                <w:tab w:val="left" w:pos="605"/>
              </w:tabs>
              <w:kinsoku/>
              <w:wordWrap/>
              <w:topLinePunct w:val="0"/>
              <w:bidi w:val="0"/>
              <w:snapToGrid/>
              <w:spacing w:before="0" w:beforeAutospacing="0" w:afterAutospacing="0"/>
              <w:ind w:left="0" w:right="0"/>
              <w:jc w:val="left"/>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val="0"/>
              <w:keepLines w:val="0"/>
              <w:widowControl/>
              <w:suppressLineNumbers w:val="0"/>
              <w:spacing w:before="0" w:beforeAutospacing="0" w:afterAutospacing="0"/>
              <w:ind w:left="0" w:right="0"/>
              <w:jc w:val="left"/>
              <w:rPr>
                <w:rFonts w:hint="eastAsia"/>
                <w:vertAlign w:val="baseline"/>
                <w:lang w:val="en-US" w:eastAsia="zh-CN"/>
              </w:rPr>
            </w:pPr>
            <w:r>
              <w:rPr>
                <w:rFonts w:hint="eastAsia"/>
                <w:vertAlign w:val="baseline"/>
                <w:lang w:val="en-US" w:eastAsia="zh-CN"/>
              </w:rPr>
              <w:t>No impacts, to follow Rel-18 single carrier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6"/>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86" w:name="_Toc83580743"/>
            <w:bookmarkStart w:id="87" w:name="_Toc76718405"/>
            <w:bookmarkStart w:id="88" w:name="_Toc75467393"/>
            <w:bookmarkStart w:id="89" w:name="_Toc61367638"/>
            <w:bookmarkStart w:id="90" w:name="_Toc84405252"/>
            <w:bookmarkStart w:id="91" w:name="_Toc68230970"/>
            <w:bookmarkStart w:id="92" w:name="_Toc61373021"/>
            <w:bookmarkStart w:id="93" w:name="_Toc69084383"/>
            <w:bookmarkStart w:id="94" w:name="_Toc84413861"/>
            <w:bookmarkStart w:id="95" w:name="_Toc76509415"/>
            <w:r>
              <w:rPr>
                <w:rFonts w:hint="eastAsia" w:ascii="Times New Roman" w:hAnsi="Times New Roman" w:eastAsia="宋体" w:cs="Times New Roman"/>
                <w:b w:val="0"/>
                <w:bCs w:val="0"/>
                <w:kern w:val="2"/>
                <w:sz w:val="21"/>
                <w:szCs w:val="22"/>
                <w:vertAlign w:val="baseline"/>
                <w:lang w:val="en-US" w:eastAsia="zh-CN" w:bidi="ar-SA"/>
              </w:rPr>
              <w:t>6.5A.3.2.3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Spurious emissions for UE co-existence for Inter-band CA</w:t>
            </w:r>
            <w:bookmarkEnd w:id="86"/>
            <w:bookmarkEnd w:id="87"/>
            <w:bookmarkEnd w:id="88"/>
            <w:bookmarkEnd w:id="89"/>
            <w:bookmarkEnd w:id="90"/>
            <w:bookmarkEnd w:id="91"/>
            <w:bookmarkEnd w:id="92"/>
            <w:bookmarkEnd w:id="93"/>
            <w:bookmarkEnd w:id="94"/>
            <w:bookmarkEnd w:id="95"/>
          </w:p>
          <w:p>
            <w:pPr>
              <w:keepNext/>
              <w:keepLines/>
              <w:pageBreakBefore w:val="0"/>
              <w:widowControl/>
              <w:suppressLineNumbers w:val="0"/>
              <w:tabs>
                <w:tab w:val="left" w:pos="605"/>
              </w:tabs>
              <w:kinsoku/>
              <w:wordWrap/>
              <w:topLinePunct w:val="0"/>
              <w:bidi w:val="0"/>
              <w:snapToGrid/>
              <w:spacing w:before="0" w:beforeAutospacing="0" w:afterAutospacing="0"/>
              <w:ind w:left="0" w:right="0"/>
              <w:jc w:val="left"/>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default"/>
                <w:vertAlign w:val="baseline"/>
                <w:lang w:val="en-US" w:eastAsia="zh-CN"/>
              </w:rPr>
            </w:pPr>
            <w:r>
              <w:rPr>
                <w:rFonts w:hint="eastAsia"/>
                <w:vertAlign w:val="baseline"/>
                <w:lang w:val="en-US" w:eastAsia="zh-CN"/>
              </w:rPr>
              <w:t>No impacts, to follow Rel-18 single carrier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96" w:name="_Toc29802348"/>
            <w:bookmarkStart w:id="97" w:name="_Toc75467470"/>
            <w:bookmarkStart w:id="98" w:name="_Toc45888396"/>
            <w:bookmarkStart w:id="99" w:name="_Toc36107715"/>
            <w:bookmarkStart w:id="100" w:name="_Toc61373096"/>
            <w:bookmarkStart w:id="101" w:name="_Toc76718482"/>
            <w:bookmarkStart w:id="102" w:name="_Toc76509492"/>
            <w:bookmarkStart w:id="103" w:name="_Toc37251489"/>
            <w:bookmarkStart w:id="104" w:name="_Toc84413947"/>
            <w:bookmarkStart w:id="105" w:name="_Toc21344437"/>
            <w:bookmarkStart w:id="106" w:name="_Toc84405338"/>
            <w:bookmarkStart w:id="107" w:name="_Toc69084459"/>
            <w:bookmarkStart w:id="108" w:name="_Toc29802973"/>
            <w:bookmarkStart w:id="109" w:name="_Toc45888995"/>
            <w:bookmarkStart w:id="110" w:name="_Toc83580829"/>
            <w:bookmarkStart w:id="111" w:name="_Toc68231046"/>
            <w:bookmarkStart w:id="112" w:name="_Toc29801924"/>
            <w:bookmarkStart w:id="113" w:name="_Toc61367713"/>
            <w:r>
              <w:rPr>
                <w:rFonts w:hint="eastAsia" w:ascii="Times New Roman" w:hAnsi="Times New Roman" w:eastAsia="宋体" w:cs="Times New Roman"/>
                <w:b w:val="0"/>
                <w:bCs w:val="0"/>
                <w:kern w:val="2"/>
                <w:sz w:val="21"/>
                <w:szCs w:val="22"/>
                <w:vertAlign w:val="baseline"/>
                <w:lang w:val="en-US" w:eastAsia="zh-CN" w:bidi="ar-SA"/>
              </w:rPr>
              <w:t>7.3A.2.3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Reference sensitivity power level for Inter-band CA</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b/>
                <w:bCs/>
                <w:vertAlign w:val="baseline"/>
                <w:lang w:val="en-US" w:eastAsia="zh-CN"/>
              </w:rPr>
            </w:pPr>
            <w:r>
              <w:rPr>
                <w:rFonts w:hint="eastAsia" w:ascii="Times New Roman" w:hAnsi="Times New Roman" w:eastAsia="宋体" w:cs="Times New Roman"/>
                <w:b/>
                <w:bCs/>
                <w:kern w:val="2"/>
                <w:sz w:val="21"/>
                <w:szCs w:val="22"/>
                <w:vertAlign w:val="baseline"/>
                <w:lang w:val="en-US" w:eastAsia="zh-CN" w:bidi="ar-SA"/>
              </w:rPr>
              <w:t>Reference sensitivity power level for Inter-band CA</w:t>
            </w:r>
          </w:p>
          <w:p>
            <w:pPr>
              <w:keepNext/>
              <w:keepLines/>
              <w:pageBreakBefore w:val="0"/>
              <w:suppressLineNumbers w:val="0"/>
              <w:kinsoku/>
              <w:wordWrap/>
              <w:topLinePunct w:val="0"/>
              <w:bidi w:val="0"/>
              <w:snapToGrid/>
              <w:spacing w:before="0" w:beforeAutospacing="0" w:afterAutospacing="0"/>
              <w:ind w:left="0" w:right="0"/>
              <w:rPr>
                <w:rFonts w:hint="eastAsia"/>
                <w:vertAlign w:val="baseline"/>
                <w:lang w:val="en-US" w:eastAsia="zh-CN"/>
              </w:rPr>
            </w:pPr>
            <w:r>
              <w:rPr>
                <w:rFonts w:hint="default"/>
              </w:rPr>
              <w:t xml:space="preserve">For inter-band carrier aggregation with one component carrier per operating band and the uplink assigned to one NR band the throughput shall be ≥ 95 % of the maximum throughput of the reference measurement channels as specified in Annexes A.2.2.2, A.2.3.2, A.3.2, and A.3.3 (with one sided dynamic OCNG Pattern OP.1 FDD/TDD for the DL-signal as described in Annex A.5.1.1/A.5.2.1 </w:t>
            </w:r>
            <w:r>
              <w:rPr>
                <w:rFonts w:hint="default"/>
                <w:color w:val="FF0000"/>
                <w:highlight w:val="none"/>
              </w:rPr>
              <w:t>with parameters specified in  Table 7.3.2-1, Table 7.3.2-2 and Table 7.3.2-3 modified in accordance with clause 7.3A.3.2</w:t>
            </w:r>
            <w:r>
              <w:rPr>
                <w:rFonts w:hint="default"/>
              </w:rPr>
              <w:t xml:space="preserve">. </w:t>
            </w:r>
            <w:r>
              <w:rPr>
                <w:rFonts w:hint="default"/>
                <w:highlight w:val="none"/>
              </w:rPr>
              <w:t xml:space="preserve">The reference sensitivity is defined to be met with </w:t>
            </w:r>
            <w:r>
              <w:rPr>
                <w:rFonts w:hint="default"/>
                <w:highlight w:val="none"/>
                <w:lang w:eastAsia="zh-CN"/>
              </w:rPr>
              <w:t>all</w:t>
            </w:r>
            <w:r>
              <w:rPr>
                <w:rFonts w:hint="default"/>
                <w:highlight w:val="none"/>
              </w:rPr>
              <w:t xml:space="preserve"> downlink component carriers active and one of the uplink carriers active.</w:t>
            </w:r>
            <w:r>
              <w:rPr>
                <w:rFonts w:hint="default"/>
              </w:rPr>
              <w:t xml:space="preserve"> Exceptions to reference sensitivity are allowed in accordance with clause 7.3A.4.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114" w:name="_Toc76509496"/>
            <w:bookmarkStart w:id="115" w:name="_Toc37251493"/>
            <w:bookmarkStart w:id="116" w:name="_Toc29801928"/>
            <w:bookmarkStart w:id="117" w:name="_Toc21344441"/>
            <w:bookmarkStart w:id="118" w:name="_Toc36107719"/>
            <w:bookmarkStart w:id="119" w:name="_Toc68231050"/>
            <w:bookmarkStart w:id="120" w:name="_Toc45888400"/>
            <w:bookmarkStart w:id="121" w:name="_Toc84413951"/>
            <w:bookmarkStart w:id="122" w:name="_Toc84405342"/>
            <w:bookmarkStart w:id="123" w:name="_Toc76718486"/>
            <w:bookmarkStart w:id="124" w:name="_Toc75467474"/>
            <w:bookmarkStart w:id="125" w:name="_Toc45888999"/>
            <w:bookmarkStart w:id="126" w:name="_Toc61367717"/>
            <w:bookmarkStart w:id="127" w:name="_Toc83580833"/>
            <w:bookmarkStart w:id="128" w:name="_Toc69084463"/>
            <w:bookmarkStart w:id="129" w:name="_Toc29802977"/>
            <w:bookmarkStart w:id="130" w:name="_Toc29802352"/>
            <w:bookmarkStart w:id="131" w:name="_Toc61373100"/>
            <w:r>
              <w:rPr>
                <w:rFonts w:hint="eastAsia" w:ascii="Times New Roman" w:hAnsi="Times New Roman" w:eastAsia="宋体" w:cs="Times New Roman"/>
                <w:b w:val="0"/>
                <w:bCs w:val="0"/>
                <w:kern w:val="2"/>
                <w:sz w:val="21"/>
                <w:szCs w:val="22"/>
                <w:vertAlign w:val="baseline"/>
                <w:lang w:val="en-US" w:eastAsia="zh-CN" w:bidi="ar-SA"/>
              </w:rPr>
              <w:t>7.3A.3.2</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ΔRIB,c for Inter-band CA</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tc>
        <w:tc>
          <w:tcPr>
            <w:tcW w:w="4981" w:type="dxa"/>
          </w:tcPr>
          <w:p>
            <w:pPr>
              <w:pStyle w:val="56"/>
              <w:keepNext/>
              <w:keepLines/>
              <w:pageBreakBefore w:val="0"/>
              <w:numPr>
                <w:ilvl w:val="0"/>
                <w:numId w:val="0"/>
              </w:numPr>
              <w:suppressLineNumbers w:val="0"/>
              <w:kinsoku/>
              <w:wordWrap/>
              <w:topLinePunct w:val="0"/>
              <w:bidi w:val="0"/>
              <w:snapToGrid/>
              <w:spacing w:before="0" w:beforeAutospacing="0" w:afterAutospacing="0"/>
              <w:ind w:left="0" w:right="0"/>
              <w:rPr>
                <w:rFonts w:hint="eastAsia"/>
                <w:sz w:val="20"/>
                <w:szCs w:val="20"/>
                <w:lang w:val="en-US" w:eastAsia="zh-CN"/>
              </w:rPr>
            </w:pPr>
            <w:r>
              <w:rPr>
                <w:rFonts w:hint="eastAsia"/>
                <w:lang w:val="en-US" w:eastAsia="zh-CN"/>
              </w:rPr>
              <w:t>The delta T</w:t>
            </w:r>
            <w:r>
              <w:rPr>
                <w:rFonts w:hint="eastAsia"/>
                <w:vertAlign w:val="subscript"/>
                <w:lang w:val="en-US" w:eastAsia="zh-CN"/>
              </w:rPr>
              <w:t>IB</w:t>
            </w:r>
            <w:r>
              <w:rPr>
                <w:rFonts w:hint="eastAsia" w:cs="Arial"/>
                <w:vertAlign w:val="subscript"/>
                <w:lang w:val="en-US" w:eastAsia="zh-CN"/>
              </w:rPr>
              <w:t xml:space="preserve">, </w:t>
            </w:r>
            <w:r>
              <w:rPr>
                <w:rFonts w:hint="eastAsia"/>
                <w:lang w:val="en-US" w:eastAsia="zh-CN"/>
              </w:rPr>
              <w:t>delta R</w:t>
            </w:r>
            <w:r>
              <w:rPr>
                <w:rFonts w:hint="eastAsia"/>
                <w:vertAlign w:val="subscript"/>
                <w:lang w:val="en-US" w:eastAsia="zh-CN"/>
              </w:rPr>
              <w:t>IB</w:t>
            </w:r>
            <w:r>
              <w:rPr>
                <w:rFonts w:hint="eastAsia"/>
                <w:lang w:val="en-US" w:eastAsia="zh-CN"/>
              </w:rPr>
              <w:t xml:space="preserve">, MSD for CA_n3-n39 with single uplink n3 transmission captured in TR </w:t>
            </w:r>
            <w:r>
              <w:rPr>
                <w:rFonts w:hint="eastAsia"/>
                <w:sz w:val="20"/>
                <w:szCs w:val="20"/>
                <w:lang w:val="en-US" w:eastAsia="zh-CN"/>
              </w:rPr>
              <w:t>38.718-02-01 clause 5.90 could be reused for ATG.</w:t>
            </w:r>
          </w:p>
          <w:p>
            <w:pPr>
              <w:pStyle w:val="56"/>
              <w:keepNext/>
              <w:keepLines/>
              <w:pageBreakBefore w:val="0"/>
              <w:numPr>
                <w:ilvl w:val="0"/>
                <w:numId w:val="0"/>
              </w:numPr>
              <w:suppressLineNumbers w:val="0"/>
              <w:kinsoku/>
              <w:wordWrap/>
              <w:topLinePunct w:val="0"/>
              <w:bidi w:val="0"/>
              <w:snapToGrid/>
              <w:spacing w:before="0" w:beforeAutospacing="0" w:afterAutospacing="0"/>
              <w:ind w:left="0" w:right="0"/>
              <w:rPr>
                <w:rFonts w:hint="eastAsia"/>
                <w:sz w:val="20"/>
                <w:szCs w:val="20"/>
                <w:lang w:val="en-US" w:eastAsia="zh-CN"/>
              </w:rPr>
            </w:pPr>
            <w:r>
              <w:rPr>
                <w:rFonts w:hint="eastAsia"/>
                <w:lang w:val="en-US" w:eastAsia="zh-CN"/>
              </w:rPr>
              <w:t>The delta T</w:t>
            </w:r>
            <w:r>
              <w:rPr>
                <w:rFonts w:hint="eastAsia"/>
                <w:vertAlign w:val="subscript"/>
                <w:lang w:val="en-US" w:eastAsia="zh-CN"/>
              </w:rPr>
              <w:t>IB</w:t>
            </w:r>
            <w:r>
              <w:rPr>
                <w:rFonts w:hint="eastAsia" w:cs="Arial"/>
                <w:vertAlign w:val="subscript"/>
                <w:lang w:val="en-US" w:eastAsia="zh-CN"/>
              </w:rPr>
              <w:t xml:space="preserve">, </w:t>
            </w:r>
            <w:r>
              <w:rPr>
                <w:rFonts w:hint="eastAsia"/>
                <w:lang w:val="en-US" w:eastAsia="zh-CN"/>
              </w:rPr>
              <w:t>delta R</w:t>
            </w:r>
            <w:r>
              <w:rPr>
                <w:rFonts w:hint="eastAsia"/>
                <w:vertAlign w:val="subscript"/>
                <w:lang w:val="en-US" w:eastAsia="zh-CN"/>
              </w:rPr>
              <w:t>IB</w:t>
            </w:r>
            <w:r>
              <w:rPr>
                <w:rFonts w:hint="eastAsia"/>
                <w:lang w:val="en-US" w:eastAsia="zh-CN"/>
              </w:rPr>
              <w:t xml:space="preserve">, MSD for CA_n3-n39 captured in TR </w:t>
            </w:r>
            <w:r>
              <w:rPr>
                <w:rFonts w:hint="eastAsia"/>
                <w:sz w:val="20"/>
                <w:szCs w:val="20"/>
                <w:lang w:val="en-US" w:eastAsia="zh-CN"/>
              </w:rPr>
              <w:t>38.718-02-01 clause 5.90 could be reused for ATG.</w:t>
            </w:r>
          </w:p>
          <w:p>
            <w:pPr>
              <w:pStyle w:val="56"/>
              <w:keepNext/>
              <w:keepLines/>
              <w:pageBreakBefore w:val="0"/>
              <w:numPr>
                <w:ilvl w:val="0"/>
                <w:numId w:val="0"/>
              </w:numPr>
              <w:suppressLineNumbers w:val="0"/>
              <w:kinsoku/>
              <w:wordWrap/>
              <w:topLinePunct w:val="0"/>
              <w:bidi w:val="0"/>
              <w:snapToGrid/>
              <w:spacing w:before="0" w:beforeAutospacing="0" w:afterAutospacing="0"/>
              <w:ind w:left="0" w:right="0"/>
              <w:rPr>
                <w:rFonts w:hint="default"/>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4"/>
              <w:keepNext/>
              <w:keepLines/>
              <w:pageBreakBefore w:val="0"/>
              <w:suppressLineNumbers w:val="0"/>
              <w:kinsoku/>
              <w:wordWrap/>
              <w:topLinePunct w:val="0"/>
              <w:bidi w:val="0"/>
              <w:snapToGrid/>
              <w:spacing w:beforeAutospacing="0" w:afterAutospacing="0"/>
              <w:ind w:right="0"/>
              <w:rPr>
                <w:rFonts w:hint="eastAsia" w:ascii="Times New Roman" w:hAnsi="Times New Roman" w:eastAsia="宋体" w:cs="Times New Roman"/>
                <w:b w:val="0"/>
                <w:bCs w:val="0"/>
                <w:kern w:val="2"/>
                <w:sz w:val="21"/>
                <w:szCs w:val="22"/>
                <w:vertAlign w:val="baseline"/>
                <w:lang w:val="en-US" w:eastAsia="zh-CN" w:bidi="ar-SA"/>
              </w:rPr>
            </w:pPr>
            <w:bookmarkStart w:id="132" w:name="_Toc36107740"/>
            <w:bookmarkStart w:id="133" w:name="_Toc76718522"/>
            <w:bookmarkStart w:id="134" w:name="_Toc75467510"/>
            <w:bookmarkStart w:id="135" w:name="_Toc61367751"/>
            <w:bookmarkStart w:id="136" w:name="_Toc84413987"/>
            <w:bookmarkStart w:id="137" w:name="_Toc69084497"/>
            <w:bookmarkStart w:id="138" w:name="_Toc29802373"/>
            <w:bookmarkStart w:id="139" w:name="_Toc76509532"/>
            <w:bookmarkStart w:id="140" w:name="_Toc45889025"/>
            <w:bookmarkStart w:id="141" w:name="_Toc37251514"/>
            <w:bookmarkStart w:id="142" w:name="_Toc29801949"/>
            <w:bookmarkStart w:id="143" w:name="_Toc68231084"/>
            <w:bookmarkStart w:id="144" w:name="_Toc45888426"/>
            <w:bookmarkStart w:id="145" w:name="_Toc84405378"/>
            <w:bookmarkStart w:id="146" w:name="_Toc29802998"/>
            <w:bookmarkStart w:id="147" w:name="_Toc21344461"/>
            <w:bookmarkStart w:id="148" w:name="_Toc61373134"/>
            <w:bookmarkStart w:id="149" w:name="_Toc83580869"/>
            <w:r>
              <w:rPr>
                <w:rFonts w:hint="eastAsia" w:ascii="Times New Roman" w:hAnsi="Times New Roman" w:eastAsia="宋体" w:cs="Times New Roman"/>
                <w:b w:val="0"/>
                <w:bCs w:val="0"/>
                <w:kern w:val="2"/>
                <w:sz w:val="21"/>
                <w:szCs w:val="22"/>
                <w:vertAlign w:val="baseline"/>
                <w:lang w:val="en-US" w:eastAsia="zh-CN" w:bidi="ar-SA"/>
              </w:rPr>
              <w:t>7.4A.3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Maximum input level for Inter-band CA</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pPr>
              <w:keepNext/>
              <w:keepLines/>
              <w:pageBreakBefore w:val="0"/>
              <w:widowControl/>
              <w:suppressLineNumbers w:val="0"/>
              <w:tabs>
                <w:tab w:val="left" w:pos="605"/>
              </w:tabs>
              <w:kinsoku/>
              <w:wordWrap/>
              <w:topLinePunct w:val="0"/>
              <w:bidi w:val="0"/>
              <w:snapToGrid/>
              <w:spacing w:before="0" w:beforeAutospacing="0" w:afterAutospacing="0"/>
              <w:ind w:left="0" w:right="0"/>
              <w:jc w:val="left"/>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b/>
                <w:bCs/>
                <w:vertAlign w:val="baseline"/>
                <w:lang w:val="en-US" w:eastAsia="zh-CN"/>
              </w:rPr>
            </w:pPr>
            <w:r>
              <w:rPr>
                <w:rFonts w:hint="eastAsia" w:ascii="Times New Roman" w:hAnsi="Times New Roman" w:eastAsia="宋体" w:cs="Times New Roman"/>
                <w:b/>
                <w:bCs/>
                <w:kern w:val="2"/>
                <w:sz w:val="21"/>
                <w:szCs w:val="22"/>
                <w:vertAlign w:val="baseline"/>
                <w:lang w:val="en-US" w:eastAsia="zh-CN" w:bidi="ar-SA"/>
              </w:rPr>
              <w:t>Maximum input level for Inter-band CA</w:t>
            </w:r>
          </w:p>
          <w:p>
            <w:pPr>
              <w:keepNext/>
              <w:keepLines/>
              <w:pageBreakBefore w:val="0"/>
              <w:suppressLineNumbers w:val="0"/>
              <w:kinsoku/>
              <w:wordWrap/>
              <w:topLinePunct w:val="0"/>
              <w:bidi w:val="0"/>
              <w:snapToGrid/>
              <w:spacing w:before="0" w:beforeAutospacing="0" w:afterAutospacing="0"/>
              <w:ind w:left="0" w:right="0"/>
              <w:rPr>
                <w:rFonts w:hint="default"/>
              </w:rPr>
            </w:pPr>
            <w:r>
              <w:rPr>
                <w:rFonts w:hint="default"/>
              </w:rPr>
              <w:t xml:space="preserve">For inter-band carrier aggregation with one component carrier per operating band and the uplink assigned to one NR band, the maximum input level is defined with the uplink active on the band(s) other than the band whose downlink is being tested. For NR CA configurations including an operating band without uplink band or an operating band with an unpaired DL part (as noted in Table 5.2-1), the requirements for all downlinks shall be met with the single uplink carrier active in each band capable of UL operation. </w:t>
            </w:r>
            <w:r>
              <w:rPr>
                <w:rFonts w:hint="default"/>
                <w:color w:val="FF0000"/>
              </w:rPr>
              <w:t>The UE shall meet the requirements specified in clause 7.4</w:t>
            </w:r>
            <w:r>
              <w:rPr>
                <w:rFonts w:hint="eastAsia"/>
                <w:color w:val="FF0000"/>
                <w:lang w:val="en-US" w:eastAsia="zh-CN"/>
              </w:rPr>
              <w:t>J</w:t>
            </w:r>
            <w:r>
              <w:rPr>
                <w:rFonts w:hint="default"/>
                <w:color w:val="FF0000"/>
              </w:rPr>
              <w:t xml:space="preserve"> for each component carrier while all downlink carriers are active</w:t>
            </w:r>
            <w:r>
              <w:rPr>
                <w:rFonts w:hint="default"/>
              </w:rPr>
              <w:t>.</w:t>
            </w:r>
          </w:p>
          <w:p>
            <w:pPr>
              <w:keepNext/>
              <w:keepLines/>
              <w:pageBreakBefore w:val="0"/>
              <w:suppressLineNumbers w:val="0"/>
              <w:kinsoku/>
              <w:wordWrap/>
              <w:topLinePunct w:val="0"/>
              <w:bidi w:val="0"/>
              <w:snapToGrid/>
              <w:spacing w:before="0" w:beforeAutospacing="0" w:afterAutospacing="0"/>
              <w:ind w:left="0" w:right="0"/>
              <w:rPr>
                <w:rFonts w:hint="eastAsia"/>
                <w:vertAlign w:val="baseline"/>
                <w:lang w:val="en-US" w:eastAsia="zh-CN"/>
              </w:rPr>
            </w:pPr>
            <w:r>
              <w:rPr>
                <w:rFonts w:hint="default"/>
              </w:rPr>
              <w:t>The throughput shall be ≥ 95 % of the maximum throughput of the reference measurement channels as specified in Annexs A.3.2 and A.3.3 (with one sided dynamic OCNG Pattern OP.1 FDD/TDD as described in Annex A.5.1.1/A.5.2.1) for each component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4"/>
              <w:keepNext/>
              <w:keepLines/>
              <w:pageBreakBefore w:val="0"/>
              <w:suppressLineNumbers w:val="0"/>
              <w:kinsoku/>
              <w:wordWrap/>
              <w:topLinePunct w:val="0"/>
              <w:bidi w:val="0"/>
              <w:snapToGrid/>
              <w:spacing w:beforeAutospacing="0" w:afterAutospacing="0"/>
              <w:ind w:right="0"/>
              <w:rPr>
                <w:rFonts w:hint="eastAsia" w:ascii="Times New Roman" w:hAnsi="Times New Roman" w:eastAsia="宋体" w:cs="Times New Roman"/>
                <w:b w:val="0"/>
                <w:bCs w:val="0"/>
                <w:kern w:val="2"/>
                <w:sz w:val="21"/>
                <w:szCs w:val="22"/>
                <w:vertAlign w:val="baseline"/>
                <w:lang w:val="en-US" w:eastAsia="zh-CN" w:bidi="ar-SA"/>
              </w:rPr>
            </w:pPr>
            <w:bookmarkStart w:id="150" w:name="_Toc69084507"/>
            <w:bookmarkStart w:id="151" w:name="_Toc45889035"/>
            <w:bookmarkStart w:id="152" w:name="_Toc29801955"/>
            <w:bookmarkStart w:id="153" w:name="_Toc76509542"/>
            <w:bookmarkStart w:id="154" w:name="_Toc61373144"/>
            <w:bookmarkStart w:id="155" w:name="_Toc37251520"/>
            <w:bookmarkStart w:id="156" w:name="_Toc83580879"/>
            <w:bookmarkStart w:id="157" w:name="_Toc29802379"/>
            <w:bookmarkStart w:id="158" w:name="_Toc29803004"/>
            <w:bookmarkStart w:id="159" w:name="_Toc61367761"/>
            <w:bookmarkStart w:id="160" w:name="_Toc21344467"/>
            <w:bookmarkStart w:id="161" w:name="_Toc75467520"/>
            <w:bookmarkStart w:id="162" w:name="_Toc45888436"/>
            <w:bookmarkStart w:id="163" w:name="_Toc84405388"/>
            <w:bookmarkStart w:id="164" w:name="_Toc36107746"/>
            <w:bookmarkStart w:id="165" w:name="_Toc84413997"/>
            <w:bookmarkStart w:id="166" w:name="_Toc76718532"/>
            <w:bookmarkStart w:id="167" w:name="_Toc68231094"/>
            <w:r>
              <w:rPr>
                <w:rFonts w:hint="eastAsia" w:ascii="Times New Roman" w:hAnsi="Times New Roman" w:eastAsia="宋体" w:cs="Times New Roman"/>
                <w:b w:val="0"/>
                <w:bCs w:val="0"/>
                <w:kern w:val="2"/>
                <w:sz w:val="21"/>
                <w:szCs w:val="22"/>
                <w:vertAlign w:val="baseline"/>
                <w:lang w:val="en-US" w:eastAsia="zh-CN" w:bidi="ar-SA"/>
              </w:rPr>
              <w:t>7.5A.3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Adjacent channel selectivity Inter-band CA</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pPr>
              <w:keepNext/>
              <w:keepLines/>
              <w:pageBreakBefore w:val="0"/>
              <w:widowControl/>
              <w:suppressLineNumbers w:val="0"/>
              <w:tabs>
                <w:tab w:val="left" w:pos="605"/>
              </w:tabs>
              <w:kinsoku/>
              <w:wordWrap/>
              <w:topLinePunct w:val="0"/>
              <w:bidi w:val="0"/>
              <w:snapToGrid/>
              <w:spacing w:before="0" w:beforeAutospacing="0" w:afterAutospacing="0"/>
              <w:ind w:left="0" w:right="0"/>
              <w:jc w:val="left"/>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suppressLineNumbers w:val="0"/>
              <w:kinsoku/>
              <w:wordWrap/>
              <w:topLinePunct w:val="0"/>
              <w:bidi w:val="0"/>
              <w:snapToGrid/>
              <w:spacing w:before="0" w:beforeAutospacing="0" w:afterAutospacing="0"/>
              <w:ind w:left="0" w:right="0"/>
              <w:rPr>
                <w:rFonts w:hint="default"/>
              </w:rPr>
            </w:pPr>
            <w:r>
              <w:rPr>
                <w:rFonts w:hint="eastAsia" w:ascii="Times New Roman" w:hAnsi="Times New Roman" w:eastAsia="宋体" w:cs="Times New Roman"/>
                <w:b/>
                <w:bCs/>
                <w:kern w:val="2"/>
                <w:sz w:val="21"/>
                <w:szCs w:val="22"/>
                <w:vertAlign w:val="baseline"/>
                <w:lang w:val="en-US" w:eastAsia="zh-CN" w:bidi="ar-SA"/>
              </w:rPr>
              <w:t>Adjacent channel selectivity Inter-band CA</w:t>
            </w:r>
          </w:p>
          <w:p>
            <w:pPr>
              <w:keepNext/>
              <w:keepLines/>
              <w:pageBreakBefore w:val="0"/>
              <w:suppressLineNumbers w:val="0"/>
              <w:kinsoku/>
              <w:wordWrap/>
              <w:topLinePunct w:val="0"/>
              <w:bidi w:val="0"/>
              <w:snapToGrid/>
              <w:spacing w:before="0" w:beforeAutospacing="0" w:afterAutospacing="0"/>
              <w:ind w:left="0" w:right="0"/>
              <w:rPr>
                <w:rFonts w:hint="default"/>
                <w:color w:val="FF0000"/>
              </w:rPr>
            </w:pPr>
            <w:r>
              <w:rPr>
                <w:rFonts w:hint="default"/>
              </w:rPr>
              <w:t xml:space="preserve">For inter-band carrier aggregation with one component carrier per operating band and the uplink assigned to one NR band, the adjacent channel requirements are defined with the uplink active on the band(s) other than the band whose downlink is being tested. For NR CA configurations including an operating band without uplink operation or an operating band with an unpaired DL part (as noted in Table 5.2-1), the requirements for all downlinks shall be met with the single uplink carrier active in each band capable of UL operation. </w:t>
            </w:r>
            <w:r>
              <w:rPr>
                <w:rFonts w:hint="default"/>
                <w:color w:val="FF0000"/>
              </w:rPr>
              <w:t xml:space="preserve">The </w:t>
            </w:r>
            <w:r>
              <w:rPr>
                <w:rFonts w:hint="eastAsia"/>
                <w:color w:val="FF0000"/>
                <w:lang w:val="en-US" w:eastAsia="zh-CN"/>
              </w:rPr>
              <w:t xml:space="preserve">ATG </w:t>
            </w:r>
            <w:r>
              <w:rPr>
                <w:rFonts w:hint="default"/>
                <w:color w:val="FF0000"/>
              </w:rPr>
              <w:t>UE shall meet the requirements specified in clause 7.5</w:t>
            </w:r>
            <w:r>
              <w:rPr>
                <w:rFonts w:hint="eastAsia"/>
                <w:color w:val="FF0000"/>
                <w:lang w:val="en-US" w:eastAsia="zh-CN"/>
              </w:rPr>
              <w:t>J</w:t>
            </w:r>
            <w:r>
              <w:rPr>
                <w:rFonts w:hint="default"/>
                <w:color w:val="FF0000"/>
              </w:rPr>
              <w:t>, for each component carrier while all downlink carriers are active.</w:t>
            </w:r>
          </w:p>
          <w:p>
            <w:pPr>
              <w:keepNext/>
              <w:keepLines/>
              <w:pageBreakBefore w:val="0"/>
              <w:suppressLineNumbers w:val="0"/>
              <w:kinsoku/>
              <w:wordWrap/>
              <w:topLinePunct w:val="0"/>
              <w:bidi w:val="0"/>
              <w:snapToGrid/>
              <w:spacing w:before="0" w:beforeAutospacing="0" w:afterAutospacing="0"/>
              <w:ind w:left="0" w:right="0"/>
              <w:rPr>
                <w:rFonts w:hint="default"/>
              </w:rPr>
            </w:pPr>
            <w:r>
              <w:rPr>
                <w:rFonts w:hint="default"/>
              </w:rPr>
              <w:t>The throughput of each carrier shall be ≥ 95 % of the maximum throughput of the reference measurement channels as specified in Annexes A.2.2, A.3.2, and A.3.3 (with one sided dynamic OCNG Pattern OP.1 FDD/TDD for the DL-signal as described in Annex A.5.1.1/A.5.2.1).</w:t>
            </w:r>
          </w:p>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168" w:name="_Toc29803016"/>
            <w:bookmarkStart w:id="169" w:name="_Toc76509561"/>
            <w:bookmarkStart w:id="170" w:name="_Toc76718551"/>
            <w:bookmarkStart w:id="171" w:name="_Toc83580898"/>
            <w:bookmarkStart w:id="172" w:name="_Toc45888452"/>
            <w:bookmarkStart w:id="173" w:name="_Toc61373163"/>
            <w:bookmarkStart w:id="174" w:name="_Toc36107758"/>
            <w:bookmarkStart w:id="175" w:name="_Toc37251532"/>
            <w:bookmarkStart w:id="176" w:name="_Toc29801967"/>
            <w:bookmarkStart w:id="177" w:name="_Toc61367780"/>
            <w:bookmarkStart w:id="178" w:name="_Toc84414016"/>
            <w:bookmarkStart w:id="179" w:name="_Toc75467539"/>
            <w:bookmarkStart w:id="180" w:name="_Toc45889051"/>
            <w:bookmarkStart w:id="181" w:name="_Toc68231113"/>
            <w:bookmarkStart w:id="182" w:name="_Toc69084526"/>
            <w:bookmarkStart w:id="183" w:name="_Toc84405407"/>
            <w:bookmarkStart w:id="184" w:name="_Toc29802391"/>
            <w:bookmarkStart w:id="185" w:name="_Toc21344479"/>
            <w:r>
              <w:rPr>
                <w:rFonts w:hint="eastAsia" w:ascii="Times New Roman" w:hAnsi="Times New Roman" w:eastAsia="宋体" w:cs="Times New Roman"/>
                <w:b w:val="0"/>
                <w:bCs w:val="0"/>
                <w:kern w:val="2"/>
                <w:sz w:val="21"/>
                <w:szCs w:val="22"/>
                <w:vertAlign w:val="baseline"/>
                <w:lang w:val="en-US" w:eastAsia="zh-CN" w:bidi="ar-SA"/>
              </w:rPr>
              <w:t>7.6A.2.3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In-band blocking for Inter-band CA</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r>
              <w:rPr>
                <w:rFonts w:hint="eastAsia"/>
                <w:vertAlign w:val="baseline"/>
                <w:lang w:val="en-US" w:eastAsia="zh-CN"/>
              </w:rPr>
              <w:t xml:space="preserve">To following the existing requirements defined in Clause </w:t>
            </w:r>
            <w:r>
              <w:rPr>
                <w:rFonts w:hint="eastAsia" w:ascii="Times New Roman" w:hAnsi="Times New Roman" w:eastAsia="宋体" w:cs="Times New Roman"/>
                <w:b w:val="0"/>
                <w:bCs w:val="0"/>
                <w:kern w:val="2"/>
                <w:sz w:val="21"/>
                <w:szCs w:val="22"/>
                <w:vertAlign w:val="baseline"/>
                <w:lang w:val="en-US" w:eastAsia="zh-CN" w:bidi="ar-SA"/>
              </w:rPr>
              <w:t>7.6A.2.3</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186" w:name="_Toc29801971"/>
            <w:bookmarkStart w:id="187" w:name="_Toc84405411"/>
            <w:bookmarkStart w:id="188" w:name="_Toc36107762"/>
            <w:bookmarkStart w:id="189" w:name="_Toc68231117"/>
            <w:bookmarkStart w:id="190" w:name="_Toc76509565"/>
            <w:bookmarkStart w:id="191" w:name="_Toc37251536"/>
            <w:bookmarkStart w:id="192" w:name="_Toc61367784"/>
            <w:bookmarkStart w:id="193" w:name="_Toc29803020"/>
            <w:bookmarkStart w:id="194" w:name="_Toc83580902"/>
            <w:bookmarkStart w:id="195" w:name="_Toc76718555"/>
            <w:bookmarkStart w:id="196" w:name="_Toc69084530"/>
            <w:bookmarkStart w:id="197" w:name="_Toc29802395"/>
            <w:bookmarkStart w:id="198" w:name="_Toc75467543"/>
            <w:bookmarkStart w:id="199" w:name="_Toc21344483"/>
            <w:bookmarkStart w:id="200" w:name="_Toc45889055"/>
            <w:bookmarkStart w:id="201" w:name="_Toc45888456"/>
            <w:bookmarkStart w:id="202" w:name="_Toc61373167"/>
            <w:bookmarkStart w:id="203" w:name="_Toc84414020"/>
            <w:r>
              <w:rPr>
                <w:rFonts w:hint="eastAsia" w:ascii="Times New Roman" w:hAnsi="Times New Roman" w:eastAsia="宋体" w:cs="Times New Roman"/>
                <w:b w:val="0"/>
                <w:bCs w:val="0"/>
                <w:kern w:val="2"/>
                <w:sz w:val="21"/>
                <w:szCs w:val="22"/>
                <w:vertAlign w:val="baseline"/>
                <w:lang w:val="en-US" w:eastAsia="zh-CN" w:bidi="ar-SA"/>
              </w:rPr>
              <w:t>7.6A.3.3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Out-of-band blocking for Inter-band CA</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default"/>
                <w:vertAlign w:val="baseline"/>
                <w:lang w:val="en-US" w:eastAsia="zh-CN"/>
              </w:rPr>
            </w:pPr>
            <w:r>
              <w:rPr>
                <w:rFonts w:hint="eastAsia"/>
                <w:vertAlign w:val="baseline"/>
                <w:lang w:val="en-US" w:eastAsia="zh-CN"/>
              </w:rPr>
              <w:t xml:space="preserve">To following the existing requirements defined in Clause </w:t>
            </w:r>
            <w:r>
              <w:rPr>
                <w:rFonts w:hint="eastAsia" w:ascii="Times New Roman" w:hAnsi="Times New Roman" w:eastAsia="宋体" w:cs="Times New Roman"/>
                <w:b w:val="0"/>
                <w:bCs w:val="0"/>
                <w:kern w:val="2"/>
                <w:sz w:val="21"/>
                <w:szCs w:val="22"/>
                <w:vertAlign w:val="baseline"/>
                <w:lang w:val="en-US" w:eastAsia="zh-CN" w:bidi="ar-SA"/>
              </w:rPr>
              <w:t>7.6A.3.3</w:t>
            </w:r>
            <w:r>
              <w:rPr>
                <w:rFonts w:hint="eastAsia"/>
                <w:lang w:val="en-US" w:eastAsia="zh-CN"/>
              </w:rPr>
              <w:t>. And no OOB exception for CA_n3-n39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204" w:name="_Toc61373171"/>
            <w:bookmarkStart w:id="205" w:name="_Toc76718559"/>
            <w:bookmarkStart w:id="206" w:name="_Toc29801975"/>
            <w:bookmarkStart w:id="207" w:name="_Toc83580906"/>
            <w:bookmarkStart w:id="208" w:name="_Toc37251540"/>
            <w:bookmarkStart w:id="209" w:name="_Toc61367788"/>
            <w:bookmarkStart w:id="210" w:name="_Toc68231121"/>
            <w:bookmarkStart w:id="211" w:name="_Toc29803024"/>
            <w:bookmarkStart w:id="212" w:name="_Toc84405415"/>
            <w:bookmarkStart w:id="213" w:name="_Toc36107766"/>
            <w:bookmarkStart w:id="214" w:name="_Toc75467547"/>
            <w:bookmarkStart w:id="215" w:name="_Toc45888460"/>
            <w:bookmarkStart w:id="216" w:name="_Toc29802399"/>
            <w:bookmarkStart w:id="217" w:name="_Toc84414024"/>
            <w:bookmarkStart w:id="218" w:name="_Toc76509569"/>
            <w:bookmarkStart w:id="219" w:name="_Toc69084534"/>
            <w:bookmarkStart w:id="220" w:name="_Toc45889059"/>
            <w:bookmarkStart w:id="221" w:name="_Toc21344487"/>
            <w:r>
              <w:rPr>
                <w:rFonts w:hint="eastAsia" w:ascii="Times New Roman" w:hAnsi="Times New Roman" w:eastAsia="宋体" w:cs="Times New Roman"/>
                <w:b w:val="0"/>
                <w:bCs w:val="0"/>
                <w:kern w:val="2"/>
                <w:sz w:val="21"/>
                <w:szCs w:val="22"/>
                <w:vertAlign w:val="baseline"/>
                <w:lang w:val="en-US" w:eastAsia="zh-CN" w:bidi="ar-SA"/>
              </w:rPr>
              <w:t>7.6A.4.3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Narrow band blocking for Inter-band CA</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default"/>
                <w:vertAlign w:val="baseline"/>
                <w:lang w:val="en-US" w:eastAsia="zh-CN"/>
              </w:rPr>
            </w:pPr>
            <w:r>
              <w:rPr>
                <w:rFonts w:hint="eastAsia"/>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4"/>
              <w:keepNext/>
              <w:keepLines/>
              <w:pageBreakBefore w:val="0"/>
              <w:suppressLineNumbers w:val="0"/>
              <w:kinsoku/>
              <w:wordWrap/>
              <w:topLinePunct w:val="0"/>
              <w:bidi w:val="0"/>
              <w:snapToGrid/>
              <w:spacing w:beforeAutospacing="0" w:afterAutospacing="0"/>
              <w:ind w:right="0"/>
              <w:rPr>
                <w:rFonts w:hint="eastAsia" w:ascii="Times New Roman" w:hAnsi="Times New Roman" w:eastAsia="宋体" w:cs="Times New Roman"/>
                <w:b w:val="0"/>
                <w:bCs w:val="0"/>
                <w:kern w:val="2"/>
                <w:sz w:val="21"/>
                <w:szCs w:val="22"/>
                <w:vertAlign w:val="baseline"/>
                <w:lang w:val="en-US" w:eastAsia="zh-CN" w:bidi="ar-SA"/>
              </w:rPr>
            </w:pPr>
            <w:bookmarkStart w:id="222" w:name="_Toc61367816"/>
            <w:bookmarkStart w:id="223" w:name="_Toc29802410"/>
            <w:bookmarkStart w:id="224" w:name="_Toc37251551"/>
            <w:bookmarkStart w:id="225" w:name="_Toc68231149"/>
            <w:bookmarkStart w:id="226" w:name="_Toc75467575"/>
            <w:bookmarkStart w:id="227" w:name="_Toc45888480"/>
            <w:bookmarkStart w:id="228" w:name="_Toc84414052"/>
            <w:bookmarkStart w:id="229" w:name="_Toc29803035"/>
            <w:bookmarkStart w:id="230" w:name="_Toc45889079"/>
            <w:bookmarkStart w:id="231" w:name="_Toc21344498"/>
            <w:bookmarkStart w:id="232" w:name="_Toc36107777"/>
            <w:bookmarkStart w:id="233" w:name="_Toc76718587"/>
            <w:bookmarkStart w:id="234" w:name="_Toc84405443"/>
            <w:bookmarkStart w:id="235" w:name="_Toc76509597"/>
            <w:bookmarkStart w:id="236" w:name="_Toc69084562"/>
            <w:bookmarkStart w:id="237" w:name="_Toc61373199"/>
            <w:bookmarkStart w:id="238" w:name="_Toc29801986"/>
            <w:bookmarkStart w:id="239" w:name="_Toc83580934"/>
            <w:r>
              <w:rPr>
                <w:rFonts w:hint="eastAsia" w:ascii="Times New Roman" w:hAnsi="Times New Roman" w:eastAsia="宋体" w:cs="Times New Roman"/>
                <w:b w:val="0"/>
                <w:bCs w:val="0"/>
                <w:kern w:val="2"/>
                <w:sz w:val="21"/>
                <w:szCs w:val="22"/>
                <w:vertAlign w:val="baseline"/>
                <w:lang w:val="en-US" w:eastAsia="zh-CN" w:bidi="ar-SA"/>
              </w:rPr>
              <w:t>7.7A.3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Spurious response for Inter-band CA</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pPr>
              <w:keepNext/>
              <w:keepLines/>
              <w:pageBreakBefore w:val="0"/>
              <w:widowControl/>
              <w:suppressLineNumbers w:val="0"/>
              <w:tabs>
                <w:tab w:val="left" w:pos="605"/>
              </w:tabs>
              <w:kinsoku/>
              <w:wordWrap/>
              <w:topLinePunct w:val="0"/>
              <w:bidi w:val="0"/>
              <w:snapToGrid/>
              <w:spacing w:before="0" w:beforeAutospacing="0" w:afterAutospacing="0"/>
              <w:ind w:left="0" w:right="0"/>
              <w:jc w:val="left"/>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r>
              <w:rPr>
                <w:rFonts w:hint="eastAsia"/>
                <w:vertAlign w:val="baseline"/>
                <w:lang w:val="en-US" w:eastAsia="zh-CN"/>
              </w:rPr>
              <w:t xml:space="preserve">To following the existing requirements defined in Clause </w:t>
            </w:r>
            <w:r>
              <w:rPr>
                <w:rFonts w:hint="eastAsia" w:ascii="Times New Roman" w:hAnsi="Times New Roman" w:eastAsia="宋体" w:cs="Times New Roman"/>
                <w:b w:val="0"/>
                <w:bCs w:val="0"/>
                <w:kern w:val="2"/>
                <w:sz w:val="21"/>
                <w:szCs w:val="22"/>
                <w:vertAlign w:val="baseline"/>
                <w:lang w:val="en-US" w:eastAsia="zh-CN" w:bidi="ar-SA"/>
              </w:rPr>
              <w:t>7.7A.3</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bookmarkStart w:id="240" w:name="_Toc68231166"/>
            <w:bookmarkStart w:id="241" w:name="_Toc29803045"/>
            <w:bookmarkStart w:id="242" w:name="_Toc76509614"/>
            <w:bookmarkStart w:id="243" w:name="_Toc84414069"/>
            <w:bookmarkStart w:id="244" w:name="_Toc29802420"/>
            <w:bookmarkStart w:id="245" w:name="_Toc21344508"/>
            <w:bookmarkStart w:id="246" w:name="_Toc76718604"/>
            <w:bookmarkStart w:id="247" w:name="_Toc29801996"/>
            <w:bookmarkStart w:id="248" w:name="_Toc69084579"/>
            <w:bookmarkStart w:id="249" w:name="_Toc36107787"/>
            <w:bookmarkStart w:id="250" w:name="_Toc45888494"/>
            <w:bookmarkStart w:id="251" w:name="_Toc84405460"/>
            <w:bookmarkStart w:id="252" w:name="_Toc45889093"/>
            <w:bookmarkStart w:id="253" w:name="_Toc61367833"/>
            <w:bookmarkStart w:id="254" w:name="_Toc37251561"/>
            <w:bookmarkStart w:id="255" w:name="_Toc61373216"/>
            <w:bookmarkStart w:id="256" w:name="_Toc75467592"/>
            <w:bookmarkStart w:id="257" w:name="_Toc83580951"/>
            <w:r>
              <w:rPr>
                <w:rFonts w:hint="eastAsia" w:ascii="Times New Roman" w:hAnsi="Times New Roman" w:eastAsia="宋体" w:cs="Times New Roman"/>
                <w:b w:val="0"/>
                <w:bCs w:val="0"/>
                <w:kern w:val="2"/>
                <w:sz w:val="21"/>
                <w:szCs w:val="22"/>
                <w:vertAlign w:val="baseline"/>
                <w:lang w:val="en-US" w:eastAsia="zh-CN" w:bidi="ar-SA"/>
              </w:rPr>
              <w:t>7.8A.2.3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Wide band intermodulation for Inter-band CA</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pPr>
              <w:pStyle w:val="5"/>
              <w:keepNext/>
              <w:keepLines/>
              <w:pageBreakBefore w:val="0"/>
              <w:suppressLineNumbers w:val="0"/>
              <w:kinsoku/>
              <w:wordWrap/>
              <w:topLinePunct w:val="0"/>
              <w:bidi w:val="0"/>
              <w:snapToGrid/>
              <w:spacing w:beforeAutospacing="0" w:afterAutospacing="0"/>
              <w:ind w:left="0" w:leftChars="0" w:right="0" w:firstLine="0" w:firstLineChars="0"/>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r>
              <w:rPr>
                <w:rFonts w:hint="eastAsia"/>
                <w:vertAlign w:val="baseline"/>
                <w:lang w:val="en-US" w:eastAsia="zh-CN"/>
              </w:rPr>
              <w:t xml:space="preserve">To following the existing requirements defined in Clause </w:t>
            </w:r>
            <w:r>
              <w:rPr>
                <w:rFonts w:hint="eastAsia" w:ascii="Times New Roman" w:hAnsi="Times New Roman" w:eastAsia="宋体" w:cs="Times New Roman"/>
                <w:b w:val="0"/>
                <w:bCs w:val="0"/>
                <w:kern w:val="2"/>
                <w:sz w:val="21"/>
                <w:szCs w:val="22"/>
                <w:vertAlign w:val="baseline"/>
                <w:lang w:val="en-US" w:eastAsia="zh-CN" w:bidi="ar-SA"/>
              </w:rPr>
              <w:t>7.8A.2.3</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1" w:type="dxa"/>
          </w:tcPr>
          <w:p>
            <w:pPr>
              <w:pStyle w:val="4"/>
              <w:keepNext/>
              <w:keepLines/>
              <w:pageBreakBefore w:val="0"/>
              <w:suppressLineNumbers w:val="0"/>
              <w:kinsoku/>
              <w:wordWrap/>
              <w:topLinePunct w:val="0"/>
              <w:bidi w:val="0"/>
              <w:snapToGrid/>
              <w:spacing w:beforeAutospacing="0" w:afterAutospacing="0"/>
              <w:ind w:right="0"/>
              <w:rPr>
                <w:rFonts w:hint="eastAsia" w:ascii="Times New Roman" w:hAnsi="Times New Roman" w:eastAsia="宋体" w:cs="Times New Roman"/>
                <w:b w:val="0"/>
                <w:bCs w:val="0"/>
                <w:kern w:val="2"/>
                <w:sz w:val="21"/>
                <w:szCs w:val="22"/>
                <w:vertAlign w:val="baseline"/>
                <w:lang w:val="en-US" w:eastAsia="zh-CN" w:bidi="ar-SA"/>
              </w:rPr>
            </w:pPr>
            <w:bookmarkStart w:id="258" w:name="_Toc68231180"/>
            <w:bookmarkStart w:id="259" w:name="_Toc76718618"/>
            <w:bookmarkStart w:id="260" w:name="_Toc37251567"/>
            <w:bookmarkStart w:id="261" w:name="_Toc83580965"/>
            <w:bookmarkStart w:id="262" w:name="_Toc36107793"/>
            <w:bookmarkStart w:id="263" w:name="_Toc29802002"/>
            <w:bookmarkStart w:id="264" w:name="_Toc84405474"/>
            <w:bookmarkStart w:id="265" w:name="_Toc29803051"/>
            <w:bookmarkStart w:id="266" w:name="_Toc45889104"/>
            <w:bookmarkStart w:id="267" w:name="_Toc61367847"/>
            <w:bookmarkStart w:id="268" w:name="_Toc69084593"/>
            <w:bookmarkStart w:id="269" w:name="_Toc29802426"/>
            <w:bookmarkStart w:id="270" w:name="_Toc76509628"/>
            <w:bookmarkStart w:id="271" w:name="_Toc75467606"/>
            <w:bookmarkStart w:id="272" w:name="_Toc45888505"/>
            <w:bookmarkStart w:id="273" w:name="_Toc61373230"/>
            <w:bookmarkStart w:id="274" w:name="_Toc84414083"/>
            <w:bookmarkStart w:id="275" w:name="_Toc21344514"/>
            <w:r>
              <w:rPr>
                <w:rFonts w:hint="eastAsia" w:ascii="Times New Roman" w:hAnsi="Times New Roman" w:eastAsia="宋体" w:cs="Times New Roman"/>
                <w:b w:val="0"/>
                <w:bCs w:val="0"/>
                <w:kern w:val="2"/>
                <w:sz w:val="21"/>
                <w:szCs w:val="22"/>
                <w:vertAlign w:val="baseline"/>
                <w:lang w:val="en-US" w:eastAsia="zh-CN" w:bidi="ar-SA"/>
              </w:rPr>
              <w:t>7.9A.3</w:t>
            </w:r>
            <w:r>
              <w:rPr>
                <w:rFonts w:hint="eastAsia" w:ascii="Times New Roman" w:hAnsi="Times New Roman" w:cs="Times New Roman"/>
                <w:b w:val="0"/>
                <w:bCs w:val="0"/>
                <w:kern w:val="2"/>
                <w:sz w:val="21"/>
                <w:szCs w:val="22"/>
                <w:vertAlign w:val="baseline"/>
                <w:lang w:val="en-US" w:eastAsia="zh-CN" w:bidi="ar-SA"/>
              </w:rPr>
              <w:t xml:space="preserve"> </w:t>
            </w:r>
            <w:r>
              <w:rPr>
                <w:rFonts w:hint="eastAsia" w:ascii="Times New Roman" w:hAnsi="Times New Roman" w:eastAsia="宋体" w:cs="Times New Roman"/>
                <w:b w:val="0"/>
                <w:bCs w:val="0"/>
                <w:kern w:val="2"/>
                <w:sz w:val="21"/>
                <w:szCs w:val="22"/>
                <w:vertAlign w:val="baseline"/>
                <w:lang w:val="en-US" w:eastAsia="zh-CN" w:bidi="ar-SA"/>
              </w:rPr>
              <w:t>Spurious emissions for Inter-band CA</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pPr>
              <w:keepNext/>
              <w:keepLines/>
              <w:pageBreakBefore w:val="0"/>
              <w:widowControl/>
              <w:suppressLineNumbers w:val="0"/>
              <w:tabs>
                <w:tab w:val="left" w:pos="605"/>
              </w:tabs>
              <w:kinsoku/>
              <w:wordWrap/>
              <w:topLinePunct w:val="0"/>
              <w:bidi w:val="0"/>
              <w:snapToGrid/>
              <w:spacing w:before="0" w:beforeAutospacing="0" w:afterAutospacing="0"/>
              <w:ind w:left="0" w:right="0"/>
              <w:jc w:val="left"/>
              <w:rPr>
                <w:rFonts w:hint="eastAsia" w:ascii="Times New Roman" w:hAnsi="Times New Roman" w:eastAsia="宋体" w:cs="Times New Roman"/>
                <w:b w:val="0"/>
                <w:bCs w:val="0"/>
                <w:kern w:val="2"/>
                <w:sz w:val="21"/>
                <w:szCs w:val="22"/>
                <w:vertAlign w:val="baseline"/>
                <w:lang w:val="en-US" w:eastAsia="zh-CN" w:bidi="ar-SA"/>
              </w:rPr>
            </w:pPr>
          </w:p>
        </w:tc>
        <w:tc>
          <w:tcPr>
            <w:tcW w:w="4981" w:type="dxa"/>
          </w:tcPr>
          <w:p>
            <w:pPr>
              <w:keepNext/>
              <w:keepLines/>
              <w:pageBreakBefore w:val="0"/>
              <w:widowControl/>
              <w:suppressLineNumbers w:val="0"/>
              <w:kinsoku/>
              <w:wordWrap/>
              <w:topLinePunct w:val="0"/>
              <w:bidi w:val="0"/>
              <w:snapToGrid/>
              <w:spacing w:before="0" w:beforeAutospacing="0" w:afterAutospacing="0"/>
              <w:ind w:left="0" w:right="0"/>
              <w:jc w:val="left"/>
              <w:rPr>
                <w:rFonts w:hint="eastAsia"/>
                <w:vertAlign w:val="baseline"/>
                <w:lang w:val="en-US" w:eastAsia="zh-CN"/>
              </w:rPr>
            </w:pPr>
            <w:r>
              <w:rPr>
                <w:rFonts w:hint="eastAsia"/>
                <w:vertAlign w:val="baseline"/>
                <w:lang w:val="en-US" w:eastAsia="zh-CN"/>
              </w:rPr>
              <w:t xml:space="preserve">To following the existing requirements defined in Clause </w:t>
            </w:r>
            <w:r>
              <w:rPr>
                <w:rFonts w:hint="eastAsia" w:ascii="Times New Roman" w:hAnsi="Times New Roman" w:eastAsia="宋体" w:cs="Times New Roman"/>
                <w:b w:val="0"/>
                <w:bCs w:val="0"/>
                <w:kern w:val="2"/>
                <w:sz w:val="21"/>
                <w:szCs w:val="22"/>
                <w:vertAlign w:val="baseline"/>
                <w:lang w:val="en-US" w:eastAsia="zh-CN" w:bidi="ar-SA"/>
              </w:rPr>
              <w:t>7.9A.3</w:t>
            </w:r>
          </w:p>
        </w:tc>
      </w:tr>
      <w:bookmarkEnd w:id="2"/>
      <w:bookmarkEnd w:id="3"/>
      <w:bookmarkEnd w:id="4"/>
      <w:bookmarkEnd w:id="5"/>
    </w:tbl>
    <w:p>
      <w:pPr>
        <w:pStyle w:val="58"/>
        <w:keepNext/>
        <w:keepLines/>
        <w:pageBreakBefore w:val="0"/>
        <w:tabs>
          <w:tab w:val="left" w:pos="567"/>
          <w:tab w:val="clear" w:pos="1985"/>
        </w:tabs>
        <w:kinsoku/>
        <w:wordWrap/>
        <w:topLinePunct w:val="0"/>
        <w:bidi w:val="0"/>
        <w:adjustRightInd w:val="0"/>
        <w:snapToGrid/>
        <w:ind w:left="510" w:hanging="510"/>
      </w:pPr>
      <w:r>
        <w:t>Conclusions</w:t>
      </w:r>
    </w:p>
    <w:p>
      <w:pPr>
        <w:keepNext/>
        <w:keepLines/>
        <w:pageBreakBefore w:val="0"/>
        <w:kinsoku/>
        <w:wordWrap/>
        <w:topLinePunct w:val="0"/>
        <w:bidi w:val="0"/>
        <w:snapToGrid/>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the RF requirements for ATG UE supporting inter-band DL CA in Rel-19 and proposals are made as following: </w:t>
      </w:r>
    </w:p>
    <w:p>
      <w:pPr>
        <w:pStyle w:val="58"/>
        <w:keepNext/>
        <w:keepLines/>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before="120" w:after="120" w:line="240" w:lineRule="auto"/>
        <w:ind w:leftChars="0"/>
        <w:textAlignment w:val="auto"/>
        <w:outlineLvl w:val="9"/>
        <w:rPr>
          <w:rFonts w:hint="default" w:ascii="Times New Roman" w:hAnsi="Times New Roman" w:cs="Times New Roman"/>
          <w:b/>
          <w:bCs/>
          <w:kern w:val="2"/>
          <w:sz w:val="21"/>
          <w:szCs w:val="22"/>
          <w:lang w:val="en-US" w:eastAsia="zh-CN" w:bidi="ar-SA"/>
        </w:rPr>
      </w:pPr>
      <w:r>
        <w:rPr>
          <w:rFonts w:hint="eastAsia" w:ascii="Times New Roman" w:hAnsi="Times New Roman" w:cs="Times New Roman"/>
          <w:b/>
          <w:bCs/>
          <w:kern w:val="2"/>
          <w:sz w:val="21"/>
          <w:szCs w:val="22"/>
          <w:lang w:val="en-US" w:eastAsia="zh-CN" w:bidi="ar-SA"/>
        </w:rPr>
        <w:t xml:space="preserve">Proposal 1. The BCS for inter-band DL CA_n3A-n39A is proposed in table 1 by default assumption and further study on the feasibility of simultaneous n39 UL transmission and band n3 DL reception. </w:t>
      </w:r>
    </w:p>
    <w:p>
      <w:pPr>
        <w:pStyle w:val="58"/>
        <w:keepNext/>
        <w:keepLines/>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before="120" w:after="120" w:line="240" w:lineRule="auto"/>
        <w:ind w:leftChars="0"/>
        <w:jc w:val="center"/>
        <w:textAlignment w:val="auto"/>
        <w:outlineLvl w:val="9"/>
        <w:rPr>
          <w:rFonts w:hint="default" w:ascii="Times New Roman" w:hAnsi="Times New Roman" w:eastAsia="宋体" w:cs="Times New Roman"/>
          <w:b w:val="0"/>
          <w:bCs w:val="0"/>
          <w:kern w:val="2"/>
          <w:sz w:val="21"/>
          <w:szCs w:val="22"/>
          <w:lang w:val="en-US" w:eastAsia="zh-CN" w:bidi="ar-SA"/>
        </w:rPr>
      </w:pPr>
      <w:r>
        <w:rPr>
          <w:rFonts w:hint="eastAsia" w:ascii="Times New Roman" w:hAnsi="Times New Roman" w:eastAsia="宋体" w:cs="Times New Roman"/>
          <w:b w:val="0"/>
          <w:bCs w:val="0"/>
          <w:kern w:val="2"/>
          <w:sz w:val="21"/>
          <w:szCs w:val="22"/>
          <w:lang w:val="en-US" w:eastAsia="zh-CN" w:bidi="ar-SA"/>
        </w:rPr>
        <w:t xml:space="preserve">Table 1. Supported </w:t>
      </w:r>
      <w:r>
        <w:rPr>
          <w:rFonts w:hint="eastAsia" w:ascii="Times New Roman" w:hAnsi="Times New Roman" w:eastAsia="宋体" w:cs="Times New Roman"/>
          <w:b w:val="0"/>
          <w:bCs w:val="0"/>
          <w:kern w:val="2"/>
          <w:sz w:val="21"/>
          <w:szCs w:val="22"/>
          <w:lang w:val="en-US" w:eastAsia="ja-JP" w:bidi="ar-SA"/>
        </w:rPr>
        <w:t>b</w:t>
      </w:r>
      <w:r>
        <w:rPr>
          <w:rFonts w:hint="eastAsia" w:ascii="Times New Roman" w:hAnsi="Times New Roman" w:eastAsia="宋体" w:cs="Times New Roman"/>
          <w:b w:val="0"/>
          <w:bCs w:val="0"/>
          <w:kern w:val="2"/>
          <w:sz w:val="21"/>
          <w:szCs w:val="22"/>
          <w:lang w:val="en-US" w:eastAsia="zh-CN" w:bidi="ar-SA"/>
        </w:rPr>
        <w:t>andwidths per CA band combination of band n3+n39</w:t>
      </w:r>
    </w:p>
    <w:tbl>
      <w:tblPr>
        <w:tblStyle w:val="25"/>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37"/>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eastAsia="zh-CN"/>
              </w:rPr>
            </w:pPr>
            <w:r>
              <w:rPr>
                <w:rFonts w:hint="default"/>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37"/>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eastAsia="zh-CN"/>
              </w:rPr>
            </w:pPr>
            <w:r>
              <w:rPr>
                <w:rFonts w:hint="default"/>
              </w:rPr>
              <w:t>Uplink CA configuration</w:t>
            </w:r>
            <w:r>
              <w:rPr>
                <w:rFonts w:hint="eastAsia"/>
                <w:lang w:eastAsia="zh-CN"/>
              </w:rPr>
              <w:t xml:space="preserve"> </w:t>
            </w:r>
            <w:r>
              <w:rPr>
                <w:rFonts w:hint="default"/>
              </w:rPr>
              <w:t>or single uplink carrier</w:t>
            </w:r>
          </w:p>
        </w:tc>
        <w:tc>
          <w:tcPr>
            <w:tcW w:w="730" w:type="dxa"/>
            <w:tcBorders>
              <w:left w:val="single" w:color="auto" w:sz="4" w:space="0"/>
              <w:right w:val="single" w:color="auto" w:sz="4" w:space="0"/>
            </w:tcBorders>
            <w:vAlign w:val="center"/>
          </w:tcPr>
          <w:p>
            <w:pPr>
              <w:pStyle w:val="37"/>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7"/>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cs="Arial"/>
                <w:szCs w:val="18"/>
                <w:lang w:val="en-US" w:eastAsia="zh-CN" w:bidi="ar"/>
              </w:rPr>
            </w:pPr>
            <w:r>
              <w:rPr>
                <w:rFonts w:hint="eastAsia"/>
                <w:lang w:eastAsia="zh-CN"/>
              </w:rPr>
              <w:t>C</w:t>
            </w:r>
            <w:r>
              <w:rPr>
                <w:rFonts w:hint="default"/>
                <w:lang w:eastAsia="zh-CN"/>
              </w:rPr>
              <w:t xml:space="preserve">hannel bandwidth </w:t>
            </w:r>
            <w:r>
              <w:rPr>
                <w:rFonts w:hint="eastAsia"/>
                <w:lang w:eastAsia="zh-CN"/>
              </w:rPr>
              <w:t>(</w:t>
            </w:r>
            <w:r>
              <w:rPr>
                <w:rFonts w:hint="default"/>
                <w:lang w:eastAsia="zh-CN"/>
              </w:rPr>
              <w:t>MHz)</w:t>
            </w:r>
          </w:p>
        </w:tc>
        <w:tc>
          <w:tcPr>
            <w:tcW w:w="1360" w:type="dxa"/>
            <w:tcBorders>
              <w:left w:val="single" w:color="auto" w:sz="4" w:space="0"/>
              <w:bottom w:val="nil"/>
              <w:right w:val="single" w:color="auto" w:sz="4" w:space="0"/>
            </w:tcBorders>
            <w:shd w:val="clear" w:color="auto" w:fill="auto"/>
            <w:vAlign w:val="center"/>
          </w:tcPr>
          <w:p>
            <w:pPr>
              <w:pStyle w:val="37"/>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eastAsia"/>
                <w:szCs w:val="18"/>
                <w:lang w:eastAsia="zh-CN"/>
              </w:rPr>
              <w:t>CA</w:t>
            </w:r>
            <w:r>
              <w:rPr>
                <w:rFonts w:hint="default"/>
                <w:szCs w:val="18"/>
              </w:rPr>
              <w:t>_</w:t>
            </w:r>
            <w:r>
              <w:rPr>
                <w:rFonts w:hint="eastAsia"/>
                <w:szCs w:val="18"/>
                <w:lang w:val="en-US" w:eastAsia="zh-CN"/>
              </w:rPr>
              <w:t>n</w:t>
            </w:r>
            <w:r>
              <w:rPr>
                <w:rFonts w:hint="default"/>
                <w:szCs w:val="18"/>
                <w:lang w:val="en-US" w:eastAsia="zh-CN"/>
              </w:rPr>
              <w:t>3</w:t>
            </w:r>
            <w:r>
              <w:rPr>
                <w:rFonts w:hint="default"/>
                <w:szCs w:val="18"/>
                <w:lang w:val="sv-SE" w:eastAsia="ja-JP"/>
              </w:rPr>
              <w:t>A-</w:t>
            </w:r>
            <w:r>
              <w:rPr>
                <w:rFonts w:hint="eastAsia"/>
                <w:szCs w:val="18"/>
                <w:lang w:val="en-US" w:eastAsia="zh-CN"/>
              </w:rPr>
              <w:t>n</w:t>
            </w:r>
            <w:r>
              <w:rPr>
                <w:rFonts w:hint="default"/>
                <w:szCs w:val="18"/>
                <w:lang w:val="en-US" w:eastAsia="zh-CN"/>
              </w:rPr>
              <w:t>39</w:t>
            </w:r>
            <w:r>
              <w:rPr>
                <w:rFonts w:hint="default"/>
                <w:szCs w:val="18"/>
                <w:lang w:val="sv-SE" w:eastAsia="ja-JP"/>
              </w:rPr>
              <w:t>A</w:t>
            </w:r>
            <w:r>
              <w:rPr>
                <w:rFonts w:hint="default"/>
                <w:szCs w:val="18"/>
                <w:vertAlign w:val="superscript"/>
                <w:lang w:val="sv-SE" w:eastAsia="ja-JP"/>
              </w:rPr>
              <w:t>X</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eastAsia"/>
                <w:szCs w:val="18"/>
                <w:lang w:val="en-US" w:eastAsia="zh-CN"/>
              </w:rPr>
              <w:t>-</w:t>
            </w:r>
          </w:p>
        </w:tc>
        <w:tc>
          <w:tcPr>
            <w:tcW w:w="730" w:type="dxa"/>
            <w:tcBorders>
              <w:left w:val="single" w:color="auto" w:sz="4" w:space="0"/>
              <w:right w:val="single" w:color="auto" w:sz="4" w:space="0"/>
            </w:tcBorders>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center"/>
              <w:textAlignment w:val="bottom"/>
              <w:rPr>
                <w:rFonts w:hint="default"/>
                <w:szCs w:val="18"/>
                <w:lang w:val="en-US" w:eastAsia="zh-CN"/>
              </w:rPr>
            </w:pPr>
            <w:r>
              <w:rPr>
                <w:rFonts w:hint="default" w:ascii="Arial" w:hAnsi="Arial" w:cs="Arial"/>
                <w:sz w:val="18"/>
                <w:szCs w:val="18"/>
                <w:lang w:val="en-US" w:eastAsia="zh-CN" w:bidi="ar"/>
              </w:rPr>
              <w:t>5, 10, 15, 20, 25, 30</w:t>
            </w:r>
            <w:r>
              <w:rPr>
                <w:rFonts w:hint="eastAsia" w:ascii="Arial" w:hAnsi="Arial" w:cs="Arial"/>
                <w:sz w:val="18"/>
                <w:szCs w:val="18"/>
                <w:lang w:val="en-US" w:eastAsia="zh-CN" w:bidi="ar"/>
              </w:rPr>
              <w:t>, 35, 40, 45, 50</w:t>
            </w:r>
          </w:p>
        </w:tc>
        <w:tc>
          <w:tcPr>
            <w:tcW w:w="1360" w:type="dxa"/>
            <w:tcBorders>
              <w:left w:val="single" w:color="auto" w:sz="4" w:space="0"/>
              <w:bottom w:val="nil"/>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center"/>
              <w:textAlignment w:val="bottom"/>
              <w:rPr>
                <w:rFonts w:hint="default"/>
                <w:szCs w:val="18"/>
                <w:lang w:val="en-US" w:eastAsia="zh-CN"/>
              </w:rPr>
            </w:pPr>
            <w:r>
              <w:rPr>
                <w:rFonts w:hint="default" w:ascii="Arial" w:hAnsi="Arial" w:cs="Arial"/>
                <w:sz w:val="18"/>
                <w:szCs w:val="18"/>
                <w:lang w:val="en-US" w:eastAsia="zh-CN" w:bidi="ar"/>
              </w:rPr>
              <w:t>5, 10, 15, 20, 25, 30, 35, 40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3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left"/>
              <w:rPr>
                <w:rFonts w:hint="default"/>
                <w:szCs w:val="18"/>
                <w:lang w:val="en-US" w:eastAsia="zh-CN"/>
              </w:rPr>
            </w:pPr>
            <w:r>
              <w:rPr>
                <w:rFonts w:hint="eastAsia"/>
                <w:szCs w:val="18"/>
                <w:lang w:val="en-US" w:eastAsia="zh-CN"/>
              </w:rPr>
              <w:t>[N</w:t>
            </w:r>
            <w:r>
              <w:rPr>
                <w:rFonts w:hint="default"/>
                <w:szCs w:val="18"/>
                <w:lang w:val="en-US" w:eastAsia="zh-CN"/>
              </w:rPr>
              <w:t>OTE X: Uplink is only in n3 for CA_n3-n39</w:t>
            </w:r>
            <w:r>
              <w:rPr>
                <w:rFonts w:hint="eastAsia"/>
                <w:szCs w:val="18"/>
                <w:lang w:val="en-US" w:eastAsia="zh-CN"/>
              </w:rPr>
              <w:t>]</w:t>
            </w:r>
          </w:p>
        </w:tc>
      </w:tr>
    </w:tbl>
    <w:p>
      <w:pPr>
        <w:keepNext/>
        <w:keepLines/>
        <w:pageBreakBefore w:val="0"/>
        <w:widowControl/>
        <w:suppressLineNumbers w:val="0"/>
        <w:kinsoku/>
        <w:wordWrap/>
        <w:topLinePunct w:val="0"/>
        <w:bidi w:val="0"/>
        <w:snapToGrid/>
        <w:spacing w:before="0" w:beforeAutospacing="0" w:afterAutospacing="0"/>
        <w:ind w:left="0" w:right="0"/>
        <w:jc w:val="left"/>
        <w:rPr>
          <w:rFonts w:hint="default"/>
          <w:highlight w:val="none"/>
          <w:lang w:val="en-US" w:eastAsia="zh-CN"/>
        </w:rPr>
      </w:pPr>
      <w:r>
        <w:rPr>
          <w:rFonts w:hint="eastAsia"/>
          <w:b/>
          <w:bCs/>
          <w:highlight w:val="none"/>
          <w:lang w:val="en-US" w:eastAsia="zh-CN"/>
        </w:rPr>
        <w:t>Proposal 2</w:t>
      </w:r>
      <w:r>
        <w:rPr>
          <w:rFonts w:hint="eastAsia"/>
          <w:highlight w:val="none"/>
          <w:lang w:val="en-US" w:eastAsia="zh-CN"/>
        </w:rPr>
        <w:t xml:space="preserve">: for RF requirements for inter-band DL CA, refer to the proposals in table 2. </w:t>
      </w:r>
    </w:p>
    <w:p>
      <w:pPr>
        <w:pStyle w:val="58"/>
        <w:keepNext/>
        <w:keepLines/>
        <w:pageBreakBefore w:val="0"/>
        <w:tabs>
          <w:tab w:val="left" w:pos="567"/>
          <w:tab w:val="clear" w:pos="1985"/>
        </w:tabs>
        <w:kinsoku/>
        <w:wordWrap/>
        <w:topLinePunct w:val="0"/>
        <w:bidi w:val="0"/>
        <w:adjustRightInd w:val="0"/>
        <w:snapToGrid/>
        <w:ind w:left="510" w:hanging="510"/>
      </w:pPr>
      <w:r>
        <w:t>References</w:t>
      </w:r>
    </w:p>
    <w:p>
      <w:pPr>
        <w:pStyle w:val="56"/>
        <w:keepNext/>
        <w:keepLines/>
        <w:pageBreakBefore w:val="0"/>
        <w:numPr>
          <w:ilvl w:val="0"/>
          <w:numId w:val="3"/>
        </w:numPr>
        <w:kinsoku/>
        <w:wordWrap/>
        <w:topLinePunct w:val="0"/>
        <w:bidi w:val="0"/>
        <w:snapToGrid/>
        <w:rPr>
          <w:rFonts w:hint="eastAsia" w:eastAsia="宋体"/>
          <w:sz w:val="20"/>
          <w:szCs w:val="20"/>
          <w:lang w:val="en-US" w:eastAsia="zh-CN"/>
        </w:rPr>
      </w:pPr>
      <w:r>
        <w:rPr>
          <w:rFonts w:hint="eastAsia" w:eastAsia="宋体"/>
          <w:sz w:val="20"/>
          <w:szCs w:val="20"/>
          <w:lang w:val="en-US" w:eastAsia="zh-CN"/>
        </w:rPr>
        <w:t>RP-240839,New WID on Enhancements for Air-to-ground network for NR, Approved.</w:t>
      </w:r>
    </w:p>
    <w:p>
      <w:pPr>
        <w:pStyle w:val="56"/>
        <w:keepNext/>
        <w:keepLines/>
        <w:pageBreakBefore w:val="0"/>
        <w:numPr>
          <w:ilvl w:val="0"/>
          <w:numId w:val="3"/>
        </w:numPr>
        <w:kinsoku/>
        <w:wordWrap/>
        <w:topLinePunct w:val="0"/>
        <w:bidi w:val="0"/>
        <w:snapToGrid/>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"http://portal.3gpp.org/ngppapp/DownloadTDoc.aspx?contributionUid=R4-2321919" \o "Download Tdoc" \t "https://portal.3gpp.org/" \l "/_blank" </w:instrText>
      </w:r>
      <w:r>
        <w:rPr>
          <w:rFonts w:hint="eastAsia" w:eastAsia="宋体"/>
          <w:sz w:val="20"/>
          <w:szCs w:val="20"/>
          <w:lang w:val="en-US" w:eastAsia="zh-CN"/>
        </w:rPr>
        <w:fldChar w:fldCharType="separate"/>
      </w:r>
      <w:r>
        <w:rPr>
          <w:rFonts w:hint="default" w:eastAsia="宋体"/>
          <w:sz w:val="20"/>
          <w:szCs w:val="20"/>
          <w:lang w:val="en-US" w:eastAsia="zh-CN"/>
        </w:rPr>
        <w:t>R4-2321919</w:t>
      </w:r>
      <w:r>
        <w:rPr>
          <w:rFonts w:hint="default" w:eastAsia="宋体"/>
          <w:sz w:val="20"/>
          <w:szCs w:val="20"/>
          <w:lang w:val="en-US" w:eastAsia="zh-CN"/>
        </w:rPr>
        <w:fldChar w:fldCharType="end"/>
      </w:r>
      <w:r>
        <w:rPr>
          <w:rFonts w:hint="eastAsia" w:eastAsia="宋体"/>
          <w:sz w:val="20"/>
          <w:szCs w:val="20"/>
          <w:lang w:val="en-US" w:eastAsia="zh-CN"/>
        </w:rPr>
        <w:t>,Big CR for TS 38.101-1 for NR ATG, Agreed.</w:t>
      </w:r>
    </w:p>
    <w:p>
      <w:pPr>
        <w:pStyle w:val="56"/>
        <w:keepNext/>
        <w:keepLines/>
        <w:pageBreakBefore w:val="0"/>
        <w:numPr>
          <w:ilvl w:val="0"/>
          <w:numId w:val="3"/>
        </w:numPr>
        <w:kinsoku/>
        <w:wordWrap/>
        <w:topLinePunct w:val="0"/>
        <w:bidi w:val="0"/>
        <w:snapToGrid/>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"http://portal.3gpp.org/ngppapp/DownloadTDoc.aspx?contributionUid=R4-2403864" \o "Download Tdoc" \t "https://portal.3gpp.org/" \l "/_blank" </w:instrText>
      </w:r>
      <w:r>
        <w:rPr>
          <w:rFonts w:hint="eastAsia" w:eastAsia="宋体"/>
          <w:sz w:val="20"/>
          <w:szCs w:val="20"/>
          <w:lang w:val="en-US" w:eastAsia="zh-CN"/>
        </w:rPr>
        <w:fldChar w:fldCharType="separate"/>
      </w:r>
      <w:r>
        <w:rPr>
          <w:rFonts w:hint="default" w:eastAsia="宋体"/>
          <w:sz w:val="20"/>
          <w:szCs w:val="20"/>
          <w:lang w:val="en-US" w:eastAsia="zh-CN"/>
        </w:rPr>
        <w:t>R4-2403864</w:t>
      </w:r>
      <w:r>
        <w:rPr>
          <w:rFonts w:hint="default" w:eastAsia="宋体"/>
          <w:sz w:val="20"/>
          <w:szCs w:val="20"/>
          <w:lang w:val="en-US" w:eastAsia="zh-CN"/>
        </w:rPr>
        <w:fldChar w:fldCharType="end"/>
      </w:r>
      <w:r>
        <w:rPr>
          <w:rFonts w:hint="eastAsia" w:eastAsia="宋体"/>
          <w:sz w:val="20"/>
          <w:szCs w:val="20"/>
          <w:lang w:val="en-US" w:eastAsia="zh-CN"/>
        </w:rPr>
        <w:t>, CR for 38101-1 to update ATG related signaling name, Agreed</w:t>
      </w:r>
    </w:p>
    <w:p>
      <w:pPr>
        <w:pStyle w:val="56"/>
        <w:keepNext/>
        <w:keepLines/>
        <w:pageBreakBefore w:val="0"/>
        <w:numPr>
          <w:ilvl w:val="0"/>
          <w:numId w:val="3"/>
        </w:numPr>
        <w:kinsoku/>
        <w:wordWrap/>
        <w:topLinePunct w:val="0"/>
        <w:bidi w:val="0"/>
        <w:snapToGrid/>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"http://10.10.10.10/ftp/RAN/RAN4/Inbox/R4-2406594.zip" </w:instrText>
      </w:r>
      <w:r>
        <w:rPr>
          <w:rFonts w:hint="eastAsia" w:eastAsia="宋体"/>
          <w:sz w:val="20"/>
          <w:szCs w:val="20"/>
          <w:lang w:val="en-US" w:eastAsia="zh-CN"/>
        </w:rPr>
        <w:fldChar w:fldCharType="separate"/>
      </w:r>
      <w:r>
        <w:rPr>
          <w:rFonts w:hint="eastAsia" w:eastAsia="宋体"/>
          <w:sz w:val="20"/>
          <w:szCs w:val="20"/>
          <w:lang w:val="en-US" w:eastAsia="zh-CN"/>
        </w:rPr>
        <w:t>R4-2406594</w:t>
      </w:r>
      <w:r>
        <w:rPr>
          <w:rFonts w:hint="eastAsia" w:eastAsia="宋体"/>
          <w:sz w:val="20"/>
          <w:szCs w:val="20"/>
          <w:lang w:val="en-US" w:eastAsia="zh-CN"/>
        </w:rPr>
        <w:fldChar w:fldCharType="end"/>
      </w:r>
      <w:r>
        <w:rPr>
          <w:rFonts w:hint="eastAsia"/>
          <w:sz w:val="20"/>
          <w:szCs w:val="20"/>
          <w:lang w:val="en-US" w:eastAsia="zh-CN"/>
        </w:rPr>
        <w:t xml:space="preserve">, </w:t>
      </w:r>
      <w:r>
        <w:rPr>
          <w:rFonts w:hint="eastAsia" w:eastAsia="宋体"/>
          <w:sz w:val="20"/>
          <w:szCs w:val="20"/>
          <w:lang w:val="en-US" w:eastAsia="zh-CN"/>
        </w:rPr>
        <w:t>WF on Rel-19 ATG UE requirements</w:t>
      </w:r>
      <w:r>
        <w:rPr>
          <w:rFonts w:hint="eastAsia"/>
          <w:sz w:val="20"/>
          <w:szCs w:val="20"/>
          <w:lang w:val="en-US" w:eastAsia="zh-CN"/>
        </w:rPr>
        <w:t>, Approved.</w:t>
      </w:r>
    </w:p>
    <w:p>
      <w:pPr>
        <w:pStyle w:val="56"/>
        <w:keepNext/>
        <w:keepLines/>
        <w:pageBreakBefore w:val="0"/>
        <w:numPr>
          <w:ilvl w:val="0"/>
          <w:numId w:val="3"/>
        </w:numPr>
        <w:kinsoku/>
        <w:wordWrap/>
        <w:topLinePunct w:val="0"/>
        <w:bidi w:val="0"/>
        <w:snapToGrid/>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"http://10.10.10.10/ftp/RAN/RAN4/Inbox/R4-2410687.zip" </w:instrText>
      </w:r>
      <w:r>
        <w:rPr>
          <w:rFonts w:hint="eastAsia" w:eastAsia="宋体"/>
          <w:sz w:val="20"/>
          <w:szCs w:val="20"/>
          <w:lang w:val="en-US" w:eastAsia="zh-CN"/>
        </w:rPr>
        <w:fldChar w:fldCharType="separate"/>
      </w:r>
      <w:r>
        <w:rPr>
          <w:rFonts w:hint="eastAsia" w:eastAsia="宋体"/>
          <w:sz w:val="20"/>
          <w:szCs w:val="20"/>
          <w:lang w:val="en-US" w:eastAsia="en-GB"/>
        </w:rPr>
        <w:t>R4-2410687</w:t>
      </w:r>
      <w:r>
        <w:rPr>
          <w:rFonts w:hint="eastAsia" w:eastAsia="宋体"/>
          <w:sz w:val="20"/>
          <w:szCs w:val="20"/>
          <w:lang w:val="en-US" w:eastAsia="en-GB"/>
        </w:rPr>
        <w:fldChar w:fldCharType="end"/>
      </w:r>
      <w:r>
        <w:rPr>
          <w:rFonts w:hint="eastAsia"/>
          <w:sz w:val="20"/>
          <w:szCs w:val="20"/>
          <w:lang w:val="en-US" w:eastAsia="zh-CN"/>
        </w:rPr>
        <w:t>,</w:t>
      </w:r>
      <w:r>
        <w:rPr>
          <w:rFonts w:hint="eastAsia" w:eastAsia="宋体"/>
          <w:sz w:val="20"/>
          <w:szCs w:val="20"/>
          <w:lang w:val="en-US" w:eastAsia="en-GB"/>
        </w:rPr>
        <w:t>WF on Rel-19 ATG UE RF requirements</w:t>
      </w:r>
      <w:r>
        <w:rPr>
          <w:rFonts w:hint="eastAsia" w:eastAsia="宋体"/>
          <w:sz w:val="20"/>
          <w:szCs w:val="20"/>
          <w:lang w:val="en-US" w:eastAsia="zh-CN"/>
        </w:rPr>
        <w:t>, Approved.</w:t>
      </w:r>
    </w:p>
    <w:p>
      <w:pPr>
        <w:pStyle w:val="56"/>
        <w:keepNext/>
        <w:keepLines/>
        <w:pageBreakBefore w:val="0"/>
        <w:numPr>
          <w:ilvl w:val="0"/>
          <w:numId w:val="3"/>
        </w:numPr>
        <w:kinsoku/>
        <w:wordWrap/>
        <w:topLinePunct w:val="0"/>
        <w:bidi w:val="0"/>
        <w:snapToGrid/>
        <w:rPr>
          <w:rFonts w:hint="eastAsia" w:eastAsia="宋体"/>
          <w:sz w:val="20"/>
          <w:szCs w:val="20"/>
          <w:lang w:val="en-US" w:eastAsia="zh-CN"/>
        </w:rPr>
      </w:pPr>
      <w:r>
        <w:rPr>
          <w:rFonts w:hint="eastAsia"/>
          <w:sz w:val="20"/>
          <w:szCs w:val="20"/>
          <w:lang w:val="en-US" w:eastAsia="zh-CN"/>
        </w:rPr>
        <w:t>TR 38.718-02-01</w:t>
      </w:r>
    </w:p>
    <w:p>
      <w:pPr>
        <w:pStyle w:val="56"/>
        <w:keepNext/>
        <w:keepLines/>
        <w:pageBreakBefore w:val="0"/>
        <w:numPr>
          <w:ilvl w:val="-1"/>
          <w:numId w:val="0"/>
        </w:numPr>
        <w:kinsoku/>
        <w:wordWrap/>
        <w:topLinePunct w:val="0"/>
        <w:bidi w:val="0"/>
        <w:snapToGrid/>
        <w:rPr>
          <w:sz w:val="20"/>
          <w:szCs w:val="20"/>
        </w:rPr>
      </w:pPr>
    </w:p>
    <w:p>
      <w:pPr>
        <w:pStyle w:val="21"/>
        <w:keepNext/>
        <w:keepLines/>
        <w:pageBreakBefore w:val="0"/>
        <w:shd w:val="clear" w:color="auto" w:fill="FFFFFF"/>
        <w:kinsoku/>
        <w:wordWrap/>
        <w:topLinePunct w:val="0"/>
        <w:bidi w:val="0"/>
        <w:snapToGrid/>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12B1"/>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B0"/>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212"/>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1B1"/>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C90"/>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4FF"/>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B7946"/>
    <w:rsid w:val="01237C8B"/>
    <w:rsid w:val="012823DD"/>
    <w:rsid w:val="012956E2"/>
    <w:rsid w:val="012A6A7A"/>
    <w:rsid w:val="012B6D59"/>
    <w:rsid w:val="01386A4E"/>
    <w:rsid w:val="013A4C94"/>
    <w:rsid w:val="01417D3E"/>
    <w:rsid w:val="01442D89"/>
    <w:rsid w:val="01522256"/>
    <w:rsid w:val="01586859"/>
    <w:rsid w:val="01594895"/>
    <w:rsid w:val="015C06BF"/>
    <w:rsid w:val="015D1618"/>
    <w:rsid w:val="015F18F2"/>
    <w:rsid w:val="015F5FA3"/>
    <w:rsid w:val="016800B9"/>
    <w:rsid w:val="017059E0"/>
    <w:rsid w:val="0171654A"/>
    <w:rsid w:val="0173280C"/>
    <w:rsid w:val="01791D2E"/>
    <w:rsid w:val="01821D8F"/>
    <w:rsid w:val="01864D3B"/>
    <w:rsid w:val="018C2266"/>
    <w:rsid w:val="018C3642"/>
    <w:rsid w:val="018D7DCE"/>
    <w:rsid w:val="0195201D"/>
    <w:rsid w:val="019C3DA8"/>
    <w:rsid w:val="019E267E"/>
    <w:rsid w:val="01A402CD"/>
    <w:rsid w:val="01A742A2"/>
    <w:rsid w:val="01B330C9"/>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A2C38"/>
    <w:rsid w:val="021D2604"/>
    <w:rsid w:val="021F7108"/>
    <w:rsid w:val="022533D4"/>
    <w:rsid w:val="02293A2A"/>
    <w:rsid w:val="022D2A1C"/>
    <w:rsid w:val="022D5BF3"/>
    <w:rsid w:val="022F6559"/>
    <w:rsid w:val="022F66E0"/>
    <w:rsid w:val="023635A6"/>
    <w:rsid w:val="0238292F"/>
    <w:rsid w:val="023A0A2B"/>
    <w:rsid w:val="023C3008"/>
    <w:rsid w:val="023E7088"/>
    <w:rsid w:val="0240545F"/>
    <w:rsid w:val="02405857"/>
    <w:rsid w:val="024504DC"/>
    <w:rsid w:val="024C0ED1"/>
    <w:rsid w:val="024C13AB"/>
    <w:rsid w:val="024C4285"/>
    <w:rsid w:val="02532AA9"/>
    <w:rsid w:val="025732DD"/>
    <w:rsid w:val="025C0F66"/>
    <w:rsid w:val="0262197E"/>
    <w:rsid w:val="026D13E1"/>
    <w:rsid w:val="027035EC"/>
    <w:rsid w:val="027112C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0A27"/>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34B6B"/>
    <w:rsid w:val="034C342E"/>
    <w:rsid w:val="034E41AA"/>
    <w:rsid w:val="0354325C"/>
    <w:rsid w:val="035C4C68"/>
    <w:rsid w:val="035D2EB4"/>
    <w:rsid w:val="03651217"/>
    <w:rsid w:val="03687ADD"/>
    <w:rsid w:val="03696DA6"/>
    <w:rsid w:val="036A231E"/>
    <w:rsid w:val="03774924"/>
    <w:rsid w:val="03822F79"/>
    <w:rsid w:val="03876945"/>
    <w:rsid w:val="038B3715"/>
    <w:rsid w:val="039568DC"/>
    <w:rsid w:val="0395764C"/>
    <w:rsid w:val="039B69FD"/>
    <w:rsid w:val="03A32E58"/>
    <w:rsid w:val="03AC2829"/>
    <w:rsid w:val="03B728E0"/>
    <w:rsid w:val="03C0647A"/>
    <w:rsid w:val="03C4766B"/>
    <w:rsid w:val="03C6618A"/>
    <w:rsid w:val="03C80D80"/>
    <w:rsid w:val="03CD06E1"/>
    <w:rsid w:val="03CD6E1F"/>
    <w:rsid w:val="03CF6F0E"/>
    <w:rsid w:val="03D077B2"/>
    <w:rsid w:val="03D2121B"/>
    <w:rsid w:val="03D32BD3"/>
    <w:rsid w:val="03D4427A"/>
    <w:rsid w:val="03E54642"/>
    <w:rsid w:val="03F54B29"/>
    <w:rsid w:val="03F81356"/>
    <w:rsid w:val="03F947E9"/>
    <w:rsid w:val="03FC7097"/>
    <w:rsid w:val="03FF3D36"/>
    <w:rsid w:val="04017264"/>
    <w:rsid w:val="04034FE6"/>
    <w:rsid w:val="040B2442"/>
    <w:rsid w:val="040C386D"/>
    <w:rsid w:val="040C6238"/>
    <w:rsid w:val="040E704D"/>
    <w:rsid w:val="041126FA"/>
    <w:rsid w:val="041875C1"/>
    <w:rsid w:val="04193A43"/>
    <w:rsid w:val="04225784"/>
    <w:rsid w:val="04252816"/>
    <w:rsid w:val="04253E8F"/>
    <w:rsid w:val="042C7CF9"/>
    <w:rsid w:val="04343972"/>
    <w:rsid w:val="043711E5"/>
    <w:rsid w:val="04376B0F"/>
    <w:rsid w:val="04390A47"/>
    <w:rsid w:val="04423926"/>
    <w:rsid w:val="0444143C"/>
    <w:rsid w:val="0444783F"/>
    <w:rsid w:val="044753DC"/>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B40DC"/>
    <w:rsid w:val="04A128B3"/>
    <w:rsid w:val="04A3117E"/>
    <w:rsid w:val="04C21862"/>
    <w:rsid w:val="04C6655F"/>
    <w:rsid w:val="04CD2C67"/>
    <w:rsid w:val="04D66461"/>
    <w:rsid w:val="04D95F6F"/>
    <w:rsid w:val="04E06510"/>
    <w:rsid w:val="04ED5A99"/>
    <w:rsid w:val="04FB4499"/>
    <w:rsid w:val="04FF76AB"/>
    <w:rsid w:val="05010225"/>
    <w:rsid w:val="051034CD"/>
    <w:rsid w:val="051F43BC"/>
    <w:rsid w:val="052432F7"/>
    <w:rsid w:val="05280A89"/>
    <w:rsid w:val="052A278C"/>
    <w:rsid w:val="052D14A7"/>
    <w:rsid w:val="05307739"/>
    <w:rsid w:val="05367F8C"/>
    <w:rsid w:val="053C34DE"/>
    <w:rsid w:val="053E1AC2"/>
    <w:rsid w:val="053E6829"/>
    <w:rsid w:val="05403ABE"/>
    <w:rsid w:val="0545651B"/>
    <w:rsid w:val="054B16B5"/>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42844"/>
    <w:rsid w:val="05B658ED"/>
    <w:rsid w:val="05B709C2"/>
    <w:rsid w:val="05BC079D"/>
    <w:rsid w:val="05BE42A5"/>
    <w:rsid w:val="05C1056D"/>
    <w:rsid w:val="05C12295"/>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2362D5"/>
    <w:rsid w:val="062734D4"/>
    <w:rsid w:val="062D742E"/>
    <w:rsid w:val="062E1E31"/>
    <w:rsid w:val="06382A58"/>
    <w:rsid w:val="063F20A9"/>
    <w:rsid w:val="064001EE"/>
    <w:rsid w:val="0646400E"/>
    <w:rsid w:val="06474EFD"/>
    <w:rsid w:val="064767A0"/>
    <w:rsid w:val="06493A8C"/>
    <w:rsid w:val="064A35EA"/>
    <w:rsid w:val="064B521E"/>
    <w:rsid w:val="064B6477"/>
    <w:rsid w:val="064C2727"/>
    <w:rsid w:val="065740AF"/>
    <w:rsid w:val="065A56A2"/>
    <w:rsid w:val="065E4C7F"/>
    <w:rsid w:val="0665756F"/>
    <w:rsid w:val="066F6122"/>
    <w:rsid w:val="06735C62"/>
    <w:rsid w:val="067570AB"/>
    <w:rsid w:val="06776362"/>
    <w:rsid w:val="067B39B4"/>
    <w:rsid w:val="067D28AB"/>
    <w:rsid w:val="06805AC5"/>
    <w:rsid w:val="06836FEC"/>
    <w:rsid w:val="068523FB"/>
    <w:rsid w:val="06852909"/>
    <w:rsid w:val="068A178F"/>
    <w:rsid w:val="068C6317"/>
    <w:rsid w:val="068C6A99"/>
    <w:rsid w:val="069B1966"/>
    <w:rsid w:val="06A22FF5"/>
    <w:rsid w:val="06A32A23"/>
    <w:rsid w:val="06A55EB9"/>
    <w:rsid w:val="06AE0568"/>
    <w:rsid w:val="06AF116F"/>
    <w:rsid w:val="06B43B46"/>
    <w:rsid w:val="06B506C7"/>
    <w:rsid w:val="06B548E2"/>
    <w:rsid w:val="06BA7F49"/>
    <w:rsid w:val="06BB4F9D"/>
    <w:rsid w:val="06C72EBF"/>
    <w:rsid w:val="06C9247F"/>
    <w:rsid w:val="06CA43E9"/>
    <w:rsid w:val="06CD3A64"/>
    <w:rsid w:val="06CD47D4"/>
    <w:rsid w:val="06DB688D"/>
    <w:rsid w:val="06DF7EFF"/>
    <w:rsid w:val="06E015C3"/>
    <w:rsid w:val="06E431A3"/>
    <w:rsid w:val="06E662B4"/>
    <w:rsid w:val="06E85678"/>
    <w:rsid w:val="06EF6236"/>
    <w:rsid w:val="06F30672"/>
    <w:rsid w:val="06F35A7A"/>
    <w:rsid w:val="06F35AB6"/>
    <w:rsid w:val="06F66B05"/>
    <w:rsid w:val="0702074E"/>
    <w:rsid w:val="07034586"/>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44F85"/>
    <w:rsid w:val="07896FC7"/>
    <w:rsid w:val="078B062A"/>
    <w:rsid w:val="07916BE4"/>
    <w:rsid w:val="079233D0"/>
    <w:rsid w:val="079E798A"/>
    <w:rsid w:val="07A20864"/>
    <w:rsid w:val="07A2728D"/>
    <w:rsid w:val="07A80D41"/>
    <w:rsid w:val="07AA3E51"/>
    <w:rsid w:val="07BE51B2"/>
    <w:rsid w:val="07BF6455"/>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70823"/>
    <w:rsid w:val="07F97CF9"/>
    <w:rsid w:val="0800676F"/>
    <w:rsid w:val="080511A2"/>
    <w:rsid w:val="080F4BCD"/>
    <w:rsid w:val="08171593"/>
    <w:rsid w:val="0827264B"/>
    <w:rsid w:val="082A0972"/>
    <w:rsid w:val="0835476E"/>
    <w:rsid w:val="08367FC2"/>
    <w:rsid w:val="08391661"/>
    <w:rsid w:val="084E0029"/>
    <w:rsid w:val="08550FFB"/>
    <w:rsid w:val="085B2B84"/>
    <w:rsid w:val="085B5CAA"/>
    <w:rsid w:val="085C3048"/>
    <w:rsid w:val="085D6C7E"/>
    <w:rsid w:val="085F0F7F"/>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F10FA0"/>
    <w:rsid w:val="08F1525E"/>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62109"/>
    <w:rsid w:val="09972599"/>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C463F"/>
    <w:rsid w:val="09E14486"/>
    <w:rsid w:val="09E4648F"/>
    <w:rsid w:val="09F1407D"/>
    <w:rsid w:val="09F21427"/>
    <w:rsid w:val="09F22A67"/>
    <w:rsid w:val="0A093274"/>
    <w:rsid w:val="0A0E1173"/>
    <w:rsid w:val="0A0E6073"/>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A0D5D"/>
    <w:rsid w:val="0A446B70"/>
    <w:rsid w:val="0A4758B8"/>
    <w:rsid w:val="0A476DDF"/>
    <w:rsid w:val="0A5056C6"/>
    <w:rsid w:val="0A5060D6"/>
    <w:rsid w:val="0A570EAE"/>
    <w:rsid w:val="0A580F87"/>
    <w:rsid w:val="0A5E32BF"/>
    <w:rsid w:val="0A5F4C2E"/>
    <w:rsid w:val="0A6B69C2"/>
    <w:rsid w:val="0A7200B0"/>
    <w:rsid w:val="0A741F08"/>
    <w:rsid w:val="0A771CA5"/>
    <w:rsid w:val="0A7A2F0F"/>
    <w:rsid w:val="0A7F11A2"/>
    <w:rsid w:val="0A7F4F37"/>
    <w:rsid w:val="0A8053C7"/>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35E64"/>
    <w:rsid w:val="0B5C18DB"/>
    <w:rsid w:val="0B5C42B3"/>
    <w:rsid w:val="0B5D5C62"/>
    <w:rsid w:val="0B5F215C"/>
    <w:rsid w:val="0B605DE1"/>
    <w:rsid w:val="0B615169"/>
    <w:rsid w:val="0B622E13"/>
    <w:rsid w:val="0B651A68"/>
    <w:rsid w:val="0B6C3D24"/>
    <w:rsid w:val="0B6E5BD3"/>
    <w:rsid w:val="0B717521"/>
    <w:rsid w:val="0B8307A0"/>
    <w:rsid w:val="0B841D24"/>
    <w:rsid w:val="0B857CF5"/>
    <w:rsid w:val="0B884E90"/>
    <w:rsid w:val="0B892782"/>
    <w:rsid w:val="0B936E39"/>
    <w:rsid w:val="0B9538BE"/>
    <w:rsid w:val="0B9B4AEA"/>
    <w:rsid w:val="0B9C0905"/>
    <w:rsid w:val="0B9E13B0"/>
    <w:rsid w:val="0BA50427"/>
    <w:rsid w:val="0BAA0B6D"/>
    <w:rsid w:val="0BB02C8B"/>
    <w:rsid w:val="0BB2460A"/>
    <w:rsid w:val="0BB41A6B"/>
    <w:rsid w:val="0BB41CFB"/>
    <w:rsid w:val="0BB53F3C"/>
    <w:rsid w:val="0BC00376"/>
    <w:rsid w:val="0BC739F0"/>
    <w:rsid w:val="0BD21910"/>
    <w:rsid w:val="0BDA3782"/>
    <w:rsid w:val="0BDB5584"/>
    <w:rsid w:val="0BE0026A"/>
    <w:rsid w:val="0BE03407"/>
    <w:rsid w:val="0BE03DAA"/>
    <w:rsid w:val="0BE17727"/>
    <w:rsid w:val="0BEC55E4"/>
    <w:rsid w:val="0BF427F9"/>
    <w:rsid w:val="0BF614B9"/>
    <w:rsid w:val="0BFA1EAD"/>
    <w:rsid w:val="0C0B2ABC"/>
    <w:rsid w:val="0C0C632D"/>
    <w:rsid w:val="0C120111"/>
    <w:rsid w:val="0C12447E"/>
    <w:rsid w:val="0C1D0A79"/>
    <w:rsid w:val="0C1E2E71"/>
    <w:rsid w:val="0C20268F"/>
    <w:rsid w:val="0C2966B3"/>
    <w:rsid w:val="0C2C1AE5"/>
    <w:rsid w:val="0C37145B"/>
    <w:rsid w:val="0C3946F8"/>
    <w:rsid w:val="0C39583A"/>
    <w:rsid w:val="0C3C0AB0"/>
    <w:rsid w:val="0C44334A"/>
    <w:rsid w:val="0C455380"/>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40749"/>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B5A0F"/>
    <w:rsid w:val="0CCD3B1C"/>
    <w:rsid w:val="0CCE3D44"/>
    <w:rsid w:val="0CD648E3"/>
    <w:rsid w:val="0CE245F1"/>
    <w:rsid w:val="0CE33A19"/>
    <w:rsid w:val="0CE4001E"/>
    <w:rsid w:val="0CF5634C"/>
    <w:rsid w:val="0D0213CD"/>
    <w:rsid w:val="0D04575D"/>
    <w:rsid w:val="0D0612B8"/>
    <w:rsid w:val="0D066A9C"/>
    <w:rsid w:val="0D0714BC"/>
    <w:rsid w:val="0D076826"/>
    <w:rsid w:val="0D0A1D55"/>
    <w:rsid w:val="0D0F2DCE"/>
    <w:rsid w:val="0D110F87"/>
    <w:rsid w:val="0D136EF9"/>
    <w:rsid w:val="0D1A52C8"/>
    <w:rsid w:val="0D1C1D16"/>
    <w:rsid w:val="0D21615D"/>
    <w:rsid w:val="0D2454BF"/>
    <w:rsid w:val="0D2767B5"/>
    <w:rsid w:val="0D3E327E"/>
    <w:rsid w:val="0D3E50C9"/>
    <w:rsid w:val="0D432A3E"/>
    <w:rsid w:val="0D480AA9"/>
    <w:rsid w:val="0D4D56D6"/>
    <w:rsid w:val="0D5315E8"/>
    <w:rsid w:val="0D5800C7"/>
    <w:rsid w:val="0D5B6E86"/>
    <w:rsid w:val="0D604B9B"/>
    <w:rsid w:val="0D63712E"/>
    <w:rsid w:val="0D647BCA"/>
    <w:rsid w:val="0D6A353C"/>
    <w:rsid w:val="0D771AFB"/>
    <w:rsid w:val="0D7969D7"/>
    <w:rsid w:val="0D826C81"/>
    <w:rsid w:val="0D845BD8"/>
    <w:rsid w:val="0D8F1433"/>
    <w:rsid w:val="0D904522"/>
    <w:rsid w:val="0D917146"/>
    <w:rsid w:val="0D972438"/>
    <w:rsid w:val="0D976014"/>
    <w:rsid w:val="0DA060E8"/>
    <w:rsid w:val="0DA21DEB"/>
    <w:rsid w:val="0DA57AAE"/>
    <w:rsid w:val="0DA67711"/>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C0FF7"/>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22DDF"/>
    <w:rsid w:val="0E331245"/>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26A16"/>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DF1D4E"/>
    <w:rsid w:val="0EE6687B"/>
    <w:rsid w:val="0EE77EDF"/>
    <w:rsid w:val="0EEC53AA"/>
    <w:rsid w:val="0EED0D85"/>
    <w:rsid w:val="0EF21BA4"/>
    <w:rsid w:val="0EF75D05"/>
    <w:rsid w:val="0EF957FE"/>
    <w:rsid w:val="0EFE2ACB"/>
    <w:rsid w:val="0F0752A8"/>
    <w:rsid w:val="0F087675"/>
    <w:rsid w:val="0F0D240A"/>
    <w:rsid w:val="0F0E2F3A"/>
    <w:rsid w:val="0F12247A"/>
    <w:rsid w:val="0F1D0ECD"/>
    <w:rsid w:val="0F2D1135"/>
    <w:rsid w:val="0F2D7701"/>
    <w:rsid w:val="0F32645C"/>
    <w:rsid w:val="0F3452E0"/>
    <w:rsid w:val="0F362C24"/>
    <w:rsid w:val="0F364BC2"/>
    <w:rsid w:val="0F3A0440"/>
    <w:rsid w:val="0F3A630E"/>
    <w:rsid w:val="0F3B1C05"/>
    <w:rsid w:val="0F3B7D81"/>
    <w:rsid w:val="0F455F85"/>
    <w:rsid w:val="0F47212B"/>
    <w:rsid w:val="0F49564D"/>
    <w:rsid w:val="0F4A7FC1"/>
    <w:rsid w:val="0F4D1918"/>
    <w:rsid w:val="0F502C70"/>
    <w:rsid w:val="0F5075AE"/>
    <w:rsid w:val="0F521719"/>
    <w:rsid w:val="0F571705"/>
    <w:rsid w:val="0F584757"/>
    <w:rsid w:val="0F5F48DA"/>
    <w:rsid w:val="0F5F7241"/>
    <w:rsid w:val="0F6A1108"/>
    <w:rsid w:val="0F704CEF"/>
    <w:rsid w:val="0F7514AB"/>
    <w:rsid w:val="0F7C4621"/>
    <w:rsid w:val="0F7D786D"/>
    <w:rsid w:val="0F7E4DAF"/>
    <w:rsid w:val="0F7E6AED"/>
    <w:rsid w:val="0F80243B"/>
    <w:rsid w:val="0F842AF1"/>
    <w:rsid w:val="0F871D69"/>
    <w:rsid w:val="0F8C4927"/>
    <w:rsid w:val="0F8E6521"/>
    <w:rsid w:val="0F8F27CB"/>
    <w:rsid w:val="0F9A3D44"/>
    <w:rsid w:val="0FA11695"/>
    <w:rsid w:val="0FA26E81"/>
    <w:rsid w:val="0FA615E1"/>
    <w:rsid w:val="0FAD0019"/>
    <w:rsid w:val="0FAD3299"/>
    <w:rsid w:val="0FAD3F5A"/>
    <w:rsid w:val="0FB261C9"/>
    <w:rsid w:val="0FB31343"/>
    <w:rsid w:val="0FB714C3"/>
    <w:rsid w:val="0FBA52FD"/>
    <w:rsid w:val="0FBE3D3D"/>
    <w:rsid w:val="0FC12836"/>
    <w:rsid w:val="0FC427AC"/>
    <w:rsid w:val="0FD95333"/>
    <w:rsid w:val="0FDD44E9"/>
    <w:rsid w:val="0FE0698F"/>
    <w:rsid w:val="0FEA0D06"/>
    <w:rsid w:val="0FEA3F98"/>
    <w:rsid w:val="0FEB0378"/>
    <w:rsid w:val="0FEC322B"/>
    <w:rsid w:val="0FEC6EF6"/>
    <w:rsid w:val="0FFE1111"/>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91BBA"/>
    <w:rsid w:val="105C3B7E"/>
    <w:rsid w:val="10613177"/>
    <w:rsid w:val="1063036B"/>
    <w:rsid w:val="10674DB0"/>
    <w:rsid w:val="106D346F"/>
    <w:rsid w:val="106D678B"/>
    <w:rsid w:val="10705E4B"/>
    <w:rsid w:val="107374A2"/>
    <w:rsid w:val="10746083"/>
    <w:rsid w:val="10774625"/>
    <w:rsid w:val="107779F1"/>
    <w:rsid w:val="107B4809"/>
    <w:rsid w:val="10836F99"/>
    <w:rsid w:val="10886883"/>
    <w:rsid w:val="108A2129"/>
    <w:rsid w:val="10900CC5"/>
    <w:rsid w:val="10924B2D"/>
    <w:rsid w:val="10953B42"/>
    <w:rsid w:val="109755DE"/>
    <w:rsid w:val="10A12DB1"/>
    <w:rsid w:val="10B4235C"/>
    <w:rsid w:val="10B7486E"/>
    <w:rsid w:val="10BD429D"/>
    <w:rsid w:val="10C85160"/>
    <w:rsid w:val="10CC5735"/>
    <w:rsid w:val="10D679E0"/>
    <w:rsid w:val="10DF786B"/>
    <w:rsid w:val="10E43C3F"/>
    <w:rsid w:val="10EC75B1"/>
    <w:rsid w:val="10F33CC1"/>
    <w:rsid w:val="10FA45D2"/>
    <w:rsid w:val="10FD6E37"/>
    <w:rsid w:val="11024527"/>
    <w:rsid w:val="110A4489"/>
    <w:rsid w:val="11150F62"/>
    <w:rsid w:val="111A28E5"/>
    <w:rsid w:val="111A2BC4"/>
    <w:rsid w:val="111D0087"/>
    <w:rsid w:val="111D46E5"/>
    <w:rsid w:val="111E5679"/>
    <w:rsid w:val="11280A27"/>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03774"/>
    <w:rsid w:val="11847341"/>
    <w:rsid w:val="118778A0"/>
    <w:rsid w:val="118F5D6B"/>
    <w:rsid w:val="11996649"/>
    <w:rsid w:val="119C152C"/>
    <w:rsid w:val="11A030A8"/>
    <w:rsid w:val="11AA61BD"/>
    <w:rsid w:val="11AB222F"/>
    <w:rsid w:val="11AC7561"/>
    <w:rsid w:val="11AE6531"/>
    <w:rsid w:val="11AF439E"/>
    <w:rsid w:val="11B50817"/>
    <w:rsid w:val="11B52CFA"/>
    <w:rsid w:val="11B66269"/>
    <w:rsid w:val="11BA0839"/>
    <w:rsid w:val="11BE25B0"/>
    <w:rsid w:val="11CA3974"/>
    <w:rsid w:val="11D96062"/>
    <w:rsid w:val="11DD7754"/>
    <w:rsid w:val="11E048F7"/>
    <w:rsid w:val="11E4369D"/>
    <w:rsid w:val="11E662FC"/>
    <w:rsid w:val="11EA6B41"/>
    <w:rsid w:val="11EE4F27"/>
    <w:rsid w:val="11F0307F"/>
    <w:rsid w:val="11F267E8"/>
    <w:rsid w:val="11F427FC"/>
    <w:rsid w:val="11FA2D7A"/>
    <w:rsid w:val="11FF27F2"/>
    <w:rsid w:val="12066C25"/>
    <w:rsid w:val="120D75E1"/>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97A85"/>
    <w:rsid w:val="125A02CC"/>
    <w:rsid w:val="12612BA4"/>
    <w:rsid w:val="126405F6"/>
    <w:rsid w:val="1265625F"/>
    <w:rsid w:val="12705D8B"/>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1066B"/>
    <w:rsid w:val="1314201A"/>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D27C86"/>
    <w:rsid w:val="13D765AD"/>
    <w:rsid w:val="13D90BC5"/>
    <w:rsid w:val="13D91947"/>
    <w:rsid w:val="13DA30B9"/>
    <w:rsid w:val="13DC36E2"/>
    <w:rsid w:val="13E700A6"/>
    <w:rsid w:val="13E96E8F"/>
    <w:rsid w:val="13ED51EC"/>
    <w:rsid w:val="13F22B81"/>
    <w:rsid w:val="13F41B61"/>
    <w:rsid w:val="13FD4FCC"/>
    <w:rsid w:val="13FE285E"/>
    <w:rsid w:val="1400502D"/>
    <w:rsid w:val="14083E7D"/>
    <w:rsid w:val="140D5E1A"/>
    <w:rsid w:val="1410395F"/>
    <w:rsid w:val="141624C3"/>
    <w:rsid w:val="141B08A6"/>
    <w:rsid w:val="141D1211"/>
    <w:rsid w:val="14220CA7"/>
    <w:rsid w:val="14251BE9"/>
    <w:rsid w:val="142E6CAD"/>
    <w:rsid w:val="143802F8"/>
    <w:rsid w:val="14427FD4"/>
    <w:rsid w:val="144442DA"/>
    <w:rsid w:val="144C6544"/>
    <w:rsid w:val="144F1F6A"/>
    <w:rsid w:val="144F7DD8"/>
    <w:rsid w:val="14547289"/>
    <w:rsid w:val="14556F31"/>
    <w:rsid w:val="14601A0D"/>
    <w:rsid w:val="14697AC5"/>
    <w:rsid w:val="147538F3"/>
    <w:rsid w:val="147544B0"/>
    <w:rsid w:val="14794C74"/>
    <w:rsid w:val="14812D74"/>
    <w:rsid w:val="14836C15"/>
    <w:rsid w:val="14862300"/>
    <w:rsid w:val="148A15AD"/>
    <w:rsid w:val="148B50C9"/>
    <w:rsid w:val="148C00A0"/>
    <w:rsid w:val="148D3653"/>
    <w:rsid w:val="149363B8"/>
    <w:rsid w:val="149E0A7B"/>
    <w:rsid w:val="14A75504"/>
    <w:rsid w:val="14A82A63"/>
    <w:rsid w:val="14A86EA4"/>
    <w:rsid w:val="14AC358C"/>
    <w:rsid w:val="14AC55F9"/>
    <w:rsid w:val="14AD2764"/>
    <w:rsid w:val="14B227CC"/>
    <w:rsid w:val="14B76730"/>
    <w:rsid w:val="14C42DC7"/>
    <w:rsid w:val="14C767C8"/>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32BD3"/>
    <w:rsid w:val="15156C3A"/>
    <w:rsid w:val="15157DF4"/>
    <w:rsid w:val="151A11AA"/>
    <w:rsid w:val="151B0462"/>
    <w:rsid w:val="151C45D8"/>
    <w:rsid w:val="15290336"/>
    <w:rsid w:val="15297BD7"/>
    <w:rsid w:val="152E6293"/>
    <w:rsid w:val="15325A1E"/>
    <w:rsid w:val="153B59AE"/>
    <w:rsid w:val="1542012A"/>
    <w:rsid w:val="15422ACA"/>
    <w:rsid w:val="154A777B"/>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53F0F"/>
    <w:rsid w:val="160A3803"/>
    <w:rsid w:val="160C437B"/>
    <w:rsid w:val="161033BE"/>
    <w:rsid w:val="16147F08"/>
    <w:rsid w:val="16160429"/>
    <w:rsid w:val="161872CC"/>
    <w:rsid w:val="161C3234"/>
    <w:rsid w:val="162F05EE"/>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63FCD"/>
    <w:rsid w:val="16780DA5"/>
    <w:rsid w:val="16794785"/>
    <w:rsid w:val="168119E9"/>
    <w:rsid w:val="16853FE3"/>
    <w:rsid w:val="168A3277"/>
    <w:rsid w:val="168C483C"/>
    <w:rsid w:val="168E29CE"/>
    <w:rsid w:val="168F5C07"/>
    <w:rsid w:val="1695742C"/>
    <w:rsid w:val="169D1595"/>
    <w:rsid w:val="169E2FAE"/>
    <w:rsid w:val="16A65B92"/>
    <w:rsid w:val="16AA56E3"/>
    <w:rsid w:val="16AB6FC8"/>
    <w:rsid w:val="16AC6E85"/>
    <w:rsid w:val="16AD0A57"/>
    <w:rsid w:val="16BA18A0"/>
    <w:rsid w:val="16BA7C07"/>
    <w:rsid w:val="16BD160C"/>
    <w:rsid w:val="16BE109A"/>
    <w:rsid w:val="16C066C7"/>
    <w:rsid w:val="16C2724F"/>
    <w:rsid w:val="16C41FCF"/>
    <w:rsid w:val="16C455CB"/>
    <w:rsid w:val="16D10416"/>
    <w:rsid w:val="16D359B1"/>
    <w:rsid w:val="16D550B0"/>
    <w:rsid w:val="16DC6856"/>
    <w:rsid w:val="16DD48E9"/>
    <w:rsid w:val="16E7220A"/>
    <w:rsid w:val="16E97227"/>
    <w:rsid w:val="16EB1EE5"/>
    <w:rsid w:val="16F7773E"/>
    <w:rsid w:val="16F94056"/>
    <w:rsid w:val="16FD7F89"/>
    <w:rsid w:val="170133DA"/>
    <w:rsid w:val="17017641"/>
    <w:rsid w:val="170259E1"/>
    <w:rsid w:val="17026088"/>
    <w:rsid w:val="170353FD"/>
    <w:rsid w:val="17056B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425826"/>
    <w:rsid w:val="174A2BD1"/>
    <w:rsid w:val="174D3983"/>
    <w:rsid w:val="1755065F"/>
    <w:rsid w:val="17595246"/>
    <w:rsid w:val="175E4288"/>
    <w:rsid w:val="175F6489"/>
    <w:rsid w:val="17650A34"/>
    <w:rsid w:val="17652ACF"/>
    <w:rsid w:val="176C704A"/>
    <w:rsid w:val="176F708E"/>
    <w:rsid w:val="177653C5"/>
    <w:rsid w:val="17781A92"/>
    <w:rsid w:val="17844C56"/>
    <w:rsid w:val="1792346D"/>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4618E"/>
    <w:rsid w:val="18397C4D"/>
    <w:rsid w:val="183E4121"/>
    <w:rsid w:val="183F3DA9"/>
    <w:rsid w:val="184068C1"/>
    <w:rsid w:val="18420253"/>
    <w:rsid w:val="1848540C"/>
    <w:rsid w:val="18524B4C"/>
    <w:rsid w:val="18533B98"/>
    <w:rsid w:val="185546D2"/>
    <w:rsid w:val="185660F9"/>
    <w:rsid w:val="18570266"/>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00312"/>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0A3D0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500DD6"/>
    <w:rsid w:val="19521210"/>
    <w:rsid w:val="19537076"/>
    <w:rsid w:val="195621A4"/>
    <w:rsid w:val="19564B19"/>
    <w:rsid w:val="195E2D4F"/>
    <w:rsid w:val="195F336A"/>
    <w:rsid w:val="195F76BE"/>
    <w:rsid w:val="19614F51"/>
    <w:rsid w:val="19675935"/>
    <w:rsid w:val="19684070"/>
    <w:rsid w:val="196A0432"/>
    <w:rsid w:val="196B2258"/>
    <w:rsid w:val="196C7350"/>
    <w:rsid w:val="19720BF1"/>
    <w:rsid w:val="197557A0"/>
    <w:rsid w:val="19764535"/>
    <w:rsid w:val="198374F4"/>
    <w:rsid w:val="1989194D"/>
    <w:rsid w:val="19894C83"/>
    <w:rsid w:val="198C5D06"/>
    <w:rsid w:val="19A7296F"/>
    <w:rsid w:val="19AF232D"/>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02DBB"/>
    <w:rsid w:val="1A365F00"/>
    <w:rsid w:val="1A3D75B8"/>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7F50E7"/>
    <w:rsid w:val="1A813E2C"/>
    <w:rsid w:val="1A8506F7"/>
    <w:rsid w:val="1A862267"/>
    <w:rsid w:val="1A8F2FDB"/>
    <w:rsid w:val="1A94680A"/>
    <w:rsid w:val="1A960E81"/>
    <w:rsid w:val="1A972C69"/>
    <w:rsid w:val="1A9A0C93"/>
    <w:rsid w:val="1A9A12C1"/>
    <w:rsid w:val="1AA06663"/>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B184B"/>
    <w:rsid w:val="1B1F30D9"/>
    <w:rsid w:val="1B223C37"/>
    <w:rsid w:val="1B2A7E36"/>
    <w:rsid w:val="1B2F42C3"/>
    <w:rsid w:val="1B315167"/>
    <w:rsid w:val="1B324397"/>
    <w:rsid w:val="1B372EB9"/>
    <w:rsid w:val="1B39636C"/>
    <w:rsid w:val="1B3C488F"/>
    <w:rsid w:val="1B40005E"/>
    <w:rsid w:val="1B4268B4"/>
    <w:rsid w:val="1B427936"/>
    <w:rsid w:val="1B5D3106"/>
    <w:rsid w:val="1B73181B"/>
    <w:rsid w:val="1B77417A"/>
    <w:rsid w:val="1B7906CE"/>
    <w:rsid w:val="1B7D07F3"/>
    <w:rsid w:val="1B7D18F9"/>
    <w:rsid w:val="1B831B2B"/>
    <w:rsid w:val="1B853A57"/>
    <w:rsid w:val="1B8D3E76"/>
    <w:rsid w:val="1B9219EE"/>
    <w:rsid w:val="1B9307F8"/>
    <w:rsid w:val="1B944685"/>
    <w:rsid w:val="1B945678"/>
    <w:rsid w:val="1B9B3AD0"/>
    <w:rsid w:val="1BA258AE"/>
    <w:rsid w:val="1BA57F07"/>
    <w:rsid w:val="1BAA3905"/>
    <w:rsid w:val="1BB01F6E"/>
    <w:rsid w:val="1BB31994"/>
    <w:rsid w:val="1BB81DD8"/>
    <w:rsid w:val="1BB848C7"/>
    <w:rsid w:val="1BB86F3A"/>
    <w:rsid w:val="1BC85001"/>
    <w:rsid w:val="1BCA7505"/>
    <w:rsid w:val="1BD91032"/>
    <w:rsid w:val="1BDB55E4"/>
    <w:rsid w:val="1BDD2FB0"/>
    <w:rsid w:val="1BDF024C"/>
    <w:rsid w:val="1BEA1E6C"/>
    <w:rsid w:val="1BEE4EC9"/>
    <w:rsid w:val="1BEF7D4B"/>
    <w:rsid w:val="1BF60052"/>
    <w:rsid w:val="1BF706ED"/>
    <w:rsid w:val="1BF768CD"/>
    <w:rsid w:val="1BF92025"/>
    <w:rsid w:val="1BF9326D"/>
    <w:rsid w:val="1BFB271C"/>
    <w:rsid w:val="1C020825"/>
    <w:rsid w:val="1C036FDA"/>
    <w:rsid w:val="1C0730F3"/>
    <w:rsid w:val="1C08111C"/>
    <w:rsid w:val="1C0A12E3"/>
    <w:rsid w:val="1C0B33CB"/>
    <w:rsid w:val="1C0D0258"/>
    <w:rsid w:val="1C0D60C9"/>
    <w:rsid w:val="1C17562C"/>
    <w:rsid w:val="1C1869A6"/>
    <w:rsid w:val="1C191CF6"/>
    <w:rsid w:val="1C206F70"/>
    <w:rsid w:val="1C242C80"/>
    <w:rsid w:val="1C277F90"/>
    <w:rsid w:val="1C280B1A"/>
    <w:rsid w:val="1C33796F"/>
    <w:rsid w:val="1C341EE3"/>
    <w:rsid w:val="1C360432"/>
    <w:rsid w:val="1C3B2AED"/>
    <w:rsid w:val="1C3E5B92"/>
    <w:rsid w:val="1C441419"/>
    <w:rsid w:val="1C4774DD"/>
    <w:rsid w:val="1C4A45C4"/>
    <w:rsid w:val="1C4B3310"/>
    <w:rsid w:val="1C561E66"/>
    <w:rsid w:val="1C5E3742"/>
    <w:rsid w:val="1C5E7FF7"/>
    <w:rsid w:val="1C5F23B1"/>
    <w:rsid w:val="1C6D07BF"/>
    <w:rsid w:val="1C6D4144"/>
    <w:rsid w:val="1C726EC3"/>
    <w:rsid w:val="1C793EB9"/>
    <w:rsid w:val="1C7B65E1"/>
    <w:rsid w:val="1C807142"/>
    <w:rsid w:val="1C90266F"/>
    <w:rsid w:val="1C9A166E"/>
    <w:rsid w:val="1C9C48A7"/>
    <w:rsid w:val="1CA16CCE"/>
    <w:rsid w:val="1CAA7318"/>
    <w:rsid w:val="1CAB1830"/>
    <w:rsid w:val="1CAC629E"/>
    <w:rsid w:val="1CAD2752"/>
    <w:rsid w:val="1CB702E9"/>
    <w:rsid w:val="1CBA5B32"/>
    <w:rsid w:val="1CBC16E4"/>
    <w:rsid w:val="1CBE0F85"/>
    <w:rsid w:val="1CBE5026"/>
    <w:rsid w:val="1CC1651E"/>
    <w:rsid w:val="1CC34B2B"/>
    <w:rsid w:val="1CCB24F8"/>
    <w:rsid w:val="1CCD6D74"/>
    <w:rsid w:val="1CD363DF"/>
    <w:rsid w:val="1CD85910"/>
    <w:rsid w:val="1CD8702E"/>
    <w:rsid w:val="1CD97139"/>
    <w:rsid w:val="1CE12B9F"/>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E77E8"/>
    <w:rsid w:val="1D2F07BE"/>
    <w:rsid w:val="1D3A13E4"/>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9B69B7"/>
    <w:rsid w:val="1D9C5DA0"/>
    <w:rsid w:val="1D9C7126"/>
    <w:rsid w:val="1D9F462B"/>
    <w:rsid w:val="1DA1442D"/>
    <w:rsid w:val="1DA265B5"/>
    <w:rsid w:val="1DB26ED0"/>
    <w:rsid w:val="1DB835A9"/>
    <w:rsid w:val="1DC254A8"/>
    <w:rsid w:val="1DC603E1"/>
    <w:rsid w:val="1DD87513"/>
    <w:rsid w:val="1DEC45ED"/>
    <w:rsid w:val="1DF2745E"/>
    <w:rsid w:val="1DF71982"/>
    <w:rsid w:val="1DF8498F"/>
    <w:rsid w:val="1E02615D"/>
    <w:rsid w:val="1E093D7D"/>
    <w:rsid w:val="1E143B97"/>
    <w:rsid w:val="1E183872"/>
    <w:rsid w:val="1E1D7E95"/>
    <w:rsid w:val="1E201A27"/>
    <w:rsid w:val="1E217E27"/>
    <w:rsid w:val="1E224747"/>
    <w:rsid w:val="1E2B2F2B"/>
    <w:rsid w:val="1E304B88"/>
    <w:rsid w:val="1E377B48"/>
    <w:rsid w:val="1E3E02E7"/>
    <w:rsid w:val="1E4A4DAB"/>
    <w:rsid w:val="1E556E6E"/>
    <w:rsid w:val="1E6703B7"/>
    <w:rsid w:val="1E680B85"/>
    <w:rsid w:val="1E693DBB"/>
    <w:rsid w:val="1E6B2336"/>
    <w:rsid w:val="1E712925"/>
    <w:rsid w:val="1E767CF5"/>
    <w:rsid w:val="1E7845CD"/>
    <w:rsid w:val="1E8028A0"/>
    <w:rsid w:val="1E8261B5"/>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D15DFD"/>
    <w:rsid w:val="1ED509F1"/>
    <w:rsid w:val="1ED874EC"/>
    <w:rsid w:val="1ED94E25"/>
    <w:rsid w:val="1EDB6C5F"/>
    <w:rsid w:val="1EE25AF1"/>
    <w:rsid w:val="1EE36B24"/>
    <w:rsid w:val="1EE4433F"/>
    <w:rsid w:val="1EE6740D"/>
    <w:rsid w:val="1EEC1621"/>
    <w:rsid w:val="1EED7A29"/>
    <w:rsid w:val="1F0D14F3"/>
    <w:rsid w:val="1F0E3B92"/>
    <w:rsid w:val="1F120D07"/>
    <w:rsid w:val="1F141EF2"/>
    <w:rsid w:val="1F1B0E06"/>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7756A5"/>
    <w:rsid w:val="1F7959F4"/>
    <w:rsid w:val="1F7C19E4"/>
    <w:rsid w:val="1F7F07FD"/>
    <w:rsid w:val="1F83562C"/>
    <w:rsid w:val="1F8A5F10"/>
    <w:rsid w:val="1F947917"/>
    <w:rsid w:val="1F952318"/>
    <w:rsid w:val="1FA12A08"/>
    <w:rsid w:val="1FA732AF"/>
    <w:rsid w:val="1FA82FF9"/>
    <w:rsid w:val="1FAC192E"/>
    <w:rsid w:val="1FAD796D"/>
    <w:rsid w:val="1FB01266"/>
    <w:rsid w:val="1FB260BE"/>
    <w:rsid w:val="1FB34CAE"/>
    <w:rsid w:val="1FB50459"/>
    <w:rsid w:val="1FB54204"/>
    <w:rsid w:val="1FB63655"/>
    <w:rsid w:val="1FBA0563"/>
    <w:rsid w:val="1FBD7AAE"/>
    <w:rsid w:val="1FBE77B2"/>
    <w:rsid w:val="1FBF2E17"/>
    <w:rsid w:val="1FC26AB9"/>
    <w:rsid w:val="1FC46F9E"/>
    <w:rsid w:val="1FC511F0"/>
    <w:rsid w:val="1FC7659B"/>
    <w:rsid w:val="1FC97E84"/>
    <w:rsid w:val="1FD35404"/>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96BE2"/>
    <w:rsid w:val="201C304F"/>
    <w:rsid w:val="201C690F"/>
    <w:rsid w:val="20263D53"/>
    <w:rsid w:val="20275ED1"/>
    <w:rsid w:val="203004BA"/>
    <w:rsid w:val="203226CE"/>
    <w:rsid w:val="20350A1F"/>
    <w:rsid w:val="203B1416"/>
    <w:rsid w:val="203C2005"/>
    <w:rsid w:val="20420995"/>
    <w:rsid w:val="20447B3E"/>
    <w:rsid w:val="204619A3"/>
    <w:rsid w:val="204D7AED"/>
    <w:rsid w:val="204F595B"/>
    <w:rsid w:val="20532924"/>
    <w:rsid w:val="20533D65"/>
    <w:rsid w:val="205A627C"/>
    <w:rsid w:val="206301A7"/>
    <w:rsid w:val="20642E89"/>
    <w:rsid w:val="2067334B"/>
    <w:rsid w:val="206F7CD5"/>
    <w:rsid w:val="207778B9"/>
    <w:rsid w:val="207A2037"/>
    <w:rsid w:val="207E34E5"/>
    <w:rsid w:val="20850EC1"/>
    <w:rsid w:val="20911227"/>
    <w:rsid w:val="20915584"/>
    <w:rsid w:val="20934FE0"/>
    <w:rsid w:val="209511C3"/>
    <w:rsid w:val="20970C07"/>
    <w:rsid w:val="209A17A4"/>
    <w:rsid w:val="209E715A"/>
    <w:rsid w:val="20A70ABE"/>
    <w:rsid w:val="20AC38F6"/>
    <w:rsid w:val="20B0161D"/>
    <w:rsid w:val="20B836F9"/>
    <w:rsid w:val="20BD741D"/>
    <w:rsid w:val="20BF422E"/>
    <w:rsid w:val="20C10077"/>
    <w:rsid w:val="20C261C8"/>
    <w:rsid w:val="20C37A68"/>
    <w:rsid w:val="20C96FD1"/>
    <w:rsid w:val="20CC2666"/>
    <w:rsid w:val="20CF2597"/>
    <w:rsid w:val="20D562D7"/>
    <w:rsid w:val="20D7289C"/>
    <w:rsid w:val="20D957D0"/>
    <w:rsid w:val="20DA5281"/>
    <w:rsid w:val="20DB6325"/>
    <w:rsid w:val="20E35BDE"/>
    <w:rsid w:val="20E416D2"/>
    <w:rsid w:val="20E45232"/>
    <w:rsid w:val="20E9348D"/>
    <w:rsid w:val="20EA208F"/>
    <w:rsid w:val="20EB3474"/>
    <w:rsid w:val="20EF451E"/>
    <w:rsid w:val="20F667B9"/>
    <w:rsid w:val="20F90A4D"/>
    <w:rsid w:val="20FB68DB"/>
    <w:rsid w:val="20FB7568"/>
    <w:rsid w:val="20FE7CFF"/>
    <w:rsid w:val="21053D89"/>
    <w:rsid w:val="21065641"/>
    <w:rsid w:val="210D2CDA"/>
    <w:rsid w:val="21140B1B"/>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4141D"/>
    <w:rsid w:val="214B1974"/>
    <w:rsid w:val="214F4863"/>
    <w:rsid w:val="21504A40"/>
    <w:rsid w:val="215522BF"/>
    <w:rsid w:val="215F7E39"/>
    <w:rsid w:val="2163647D"/>
    <w:rsid w:val="216C54DE"/>
    <w:rsid w:val="216E4095"/>
    <w:rsid w:val="217106CC"/>
    <w:rsid w:val="21741E6D"/>
    <w:rsid w:val="217C7971"/>
    <w:rsid w:val="217D44BC"/>
    <w:rsid w:val="21840F69"/>
    <w:rsid w:val="218705A7"/>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B43B4"/>
    <w:rsid w:val="21BF03BC"/>
    <w:rsid w:val="21BF480E"/>
    <w:rsid w:val="21C05C8D"/>
    <w:rsid w:val="21C447A5"/>
    <w:rsid w:val="21C83388"/>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32EC6"/>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553C9"/>
    <w:rsid w:val="229A7E25"/>
    <w:rsid w:val="229D01C1"/>
    <w:rsid w:val="229F462B"/>
    <w:rsid w:val="22A72B65"/>
    <w:rsid w:val="22AA0362"/>
    <w:rsid w:val="22AA773F"/>
    <w:rsid w:val="22B059F5"/>
    <w:rsid w:val="22B06BDB"/>
    <w:rsid w:val="22B21CAB"/>
    <w:rsid w:val="22B63FB8"/>
    <w:rsid w:val="22B92A8B"/>
    <w:rsid w:val="22BA2D5C"/>
    <w:rsid w:val="22BA6F2B"/>
    <w:rsid w:val="22BC7DF2"/>
    <w:rsid w:val="22BD19A6"/>
    <w:rsid w:val="22BD504B"/>
    <w:rsid w:val="22D41540"/>
    <w:rsid w:val="22D61781"/>
    <w:rsid w:val="22E30977"/>
    <w:rsid w:val="22E30F99"/>
    <w:rsid w:val="22E51E43"/>
    <w:rsid w:val="22E95A8D"/>
    <w:rsid w:val="22EF5453"/>
    <w:rsid w:val="22F017B2"/>
    <w:rsid w:val="22F7088E"/>
    <w:rsid w:val="22F97E5B"/>
    <w:rsid w:val="22FA647A"/>
    <w:rsid w:val="22FB21DC"/>
    <w:rsid w:val="23003817"/>
    <w:rsid w:val="23022B06"/>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4619DB"/>
    <w:rsid w:val="23566DDF"/>
    <w:rsid w:val="23572E7E"/>
    <w:rsid w:val="235924CA"/>
    <w:rsid w:val="23592D87"/>
    <w:rsid w:val="235F162F"/>
    <w:rsid w:val="23673863"/>
    <w:rsid w:val="236A053E"/>
    <w:rsid w:val="236B3BA8"/>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92FE4"/>
    <w:rsid w:val="23CE5D21"/>
    <w:rsid w:val="23D160BB"/>
    <w:rsid w:val="23D2612A"/>
    <w:rsid w:val="23D33566"/>
    <w:rsid w:val="23D53925"/>
    <w:rsid w:val="23D9762E"/>
    <w:rsid w:val="23DF2C6B"/>
    <w:rsid w:val="23E14E6C"/>
    <w:rsid w:val="23E173A1"/>
    <w:rsid w:val="23E22C3C"/>
    <w:rsid w:val="23E3610D"/>
    <w:rsid w:val="23E52298"/>
    <w:rsid w:val="23E94462"/>
    <w:rsid w:val="23F06611"/>
    <w:rsid w:val="23F46EA8"/>
    <w:rsid w:val="24090775"/>
    <w:rsid w:val="240A6080"/>
    <w:rsid w:val="240E5D2B"/>
    <w:rsid w:val="24137B5B"/>
    <w:rsid w:val="24176341"/>
    <w:rsid w:val="24194B93"/>
    <w:rsid w:val="241E1F2D"/>
    <w:rsid w:val="24211333"/>
    <w:rsid w:val="242461D7"/>
    <w:rsid w:val="24246A60"/>
    <w:rsid w:val="24255B0A"/>
    <w:rsid w:val="242752F5"/>
    <w:rsid w:val="242778EB"/>
    <w:rsid w:val="24295260"/>
    <w:rsid w:val="242A43E1"/>
    <w:rsid w:val="242C04D9"/>
    <w:rsid w:val="242E2FF6"/>
    <w:rsid w:val="242E7ECB"/>
    <w:rsid w:val="243E6A2B"/>
    <w:rsid w:val="24401E98"/>
    <w:rsid w:val="2441528D"/>
    <w:rsid w:val="2446648F"/>
    <w:rsid w:val="244B2AFB"/>
    <w:rsid w:val="244F2484"/>
    <w:rsid w:val="24506BD9"/>
    <w:rsid w:val="24507298"/>
    <w:rsid w:val="24550926"/>
    <w:rsid w:val="24574CEB"/>
    <w:rsid w:val="245B20A7"/>
    <w:rsid w:val="245D41D2"/>
    <w:rsid w:val="24667266"/>
    <w:rsid w:val="246E676E"/>
    <w:rsid w:val="24731A96"/>
    <w:rsid w:val="24757318"/>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87F5C"/>
    <w:rsid w:val="24AC41BF"/>
    <w:rsid w:val="24B06136"/>
    <w:rsid w:val="24B631A8"/>
    <w:rsid w:val="24B93780"/>
    <w:rsid w:val="24BD38BA"/>
    <w:rsid w:val="24C0685F"/>
    <w:rsid w:val="24CD6DBE"/>
    <w:rsid w:val="24D20A06"/>
    <w:rsid w:val="24D51CDF"/>
    <w:rsid w:val="24DA355D"/>
    <w:rsid w:val="24E57853"/>
    <w:rsid w:val="24E77BE6"/>
    <w:rsid w:val="24F17428"/>
    <w:rsid w:val="24F24750"/>
    <w:rsid w:val="24F938F3"/>
    <w:rsid w:val="24F94BF2"/>
    <w:rsid w:val="250253B9"/>
    <w:rsid w:val="250C5C6A"/>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5495"/>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B795A"/>
    <w:rsid w:val="25AD3F3E"/>
    <w:rsid w:val="25AE0C1E"/>
    <w:rsid w:val="25BB6C64"/>
    <w:rsid w:val="25C87522"/>
    <w:rsid w:val="25C97301"/>
    <w:rsid w:val="25CC4C1C"/>
    <w:rsid w:val="25CD7961"/>
    <w:rsid w:val="25D33C43"/>
    <w:rsid w:val="25D64403"/>
    <w:rsid w:val="25DA4C26"/>
    <w:rsid w:val="25DC0E91"/>
    <w:rsid w:val="25E156B1"/>
    <w:rsid w:val="25E32F35"/>
    <w:rsid w:val="25EB7CD4"/>
    <w:rsid w:val="25F04B7D"/>
    <w:rsid w:val="25F51596"/>
    <w:rsid w:val="25F67042"/>
    <w:rsid w:val="260054CC"/>
    <w:rsid w:val="26071C55"/>
    <w:rsid w:val="260A55DA"/>
    <w:rsid w:val="260B255C"/>
    <w:rsid w:val="2611495B"/>
    <w:rsid w:val="2618762A"/>
    <w:rsid w:val="26217848"/>
    <w:rsid w:val="262218B2"/>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B1FB8"/>
    <w:rsid w:val="26712A32"/>
    <w:rsid w:val="267B7FD0"/>
    <w:rsid w:val="267E518B"/>
    <w:rsid w:val="26872779"/>
    <w:rsid w:val="26874AF8"/>
    <w:rsid w:val="2689029B"/>
    <w:rsid w:val="269478D8"/>
    <w:rsid w:val="26993F8A"/>
    <w:rsid w:val="269B3F13"/>
    <w:rsid w:val="269C594C"/>
    <w:rsid w:val="26A17EEF"/>
    <w:rsid w:val="26A4288C"/>
    <w:rsid w:val="26A608EC"/>
    <w:rsid w:val="26A63366"/>
    <w:rsid w:val="26A73075"/>
    <w:rsid w:val="26A968B5"/>
    <w:rsid w:val="26AC5BFD"/>
    <w:rsid w:val="26AD7047"/>
    <w:rsid w:val="26B31383"/>
    <w:rsid w:val="26B9766D"/>
    <w:rsid w:val="26BA59F2"/>
    <w:rsid w:val="26BD1ECD"/>
    <w:rsid w:val="26C36DE5"/>
    <w:rsid w:val="26C81E72"/>
    <w:rsid w:val="26C868EA"/>
    <w:rsid w:val="26C9404D"/>
    <w:rsid w:val="26CD53A8"/>
    <w:rsid w:val="26D323BB"/>
    <w:rsid w:val="26D45590"/>
    <w:rsid w:val="26DB67F4"/>
    <w:rsid w:val="26E53AE2"/>
    <w:rsid w:val="26E706E3"/>
    <w:rsid w:val="26EB2849"/>
    <w:rsid w:val="26EB45E1"/>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0726F"/>
    <w:rsid w:val="275439E1"/>
    <w:rsid w:val="275658F1"/>
    <w:rsid w:val="276142AB"/>
    <w:rsid w:val="27621C7A"/>
    <w:rsid w:val="27625732"/>
    <w:rsid w:val="276320D7"/>
    <w:rsid w:val="276F3D3A"/>
    <w:rsid w:val="27711B2C"/>
    <w:rsid w:val="27744B4E"/>
    <w:rsid w:val="2778684B"/>
    <w:rsid w:val="277A5E6A"/>
    <w:rsid w:val="277E547B"/>
    <w:rsid w:val="278A6416"/>
    <w:rsid w:val="279408D2"/>
    <w:rsid w:val="279A2ED3"/>
    <w:rsid w:val="27A23025"/>
    <w:rsid w:val="27A46397"/>
    <w:rsid w:val="27A8729F"/>
    <w:rsid w:val="27B02558"/>
    <w:rsid w:val="27B027C6"/>
    <w:rsid w:val="27B03EC1"/>
    <w:rsid w:val="27B72C5F"/>
    <w:rsid w:val="27B91021"/>
    <w:rsid w:val="27BA3133"/>
    <w:rsid w:val="27C06D17"/>
    <w:rsid w:val="27C66099"/>
    <w:rsid w:val="27C95ED0"/>
    <w:rsid w:val="27CA7CDA"/>
    <w:rsid w:val="27DF1D24"/>
    <w:rsid w:val="27E30D7E"/>
    <w:rsid w:val="27E43C95"/>
    <w:rsid w:val="27F20EFC"/>
    <w:rsid w:val="27FB11A8"/>
    <w:rsid w:val="27FE4240"/>
    <w:rsid w:val="27FF2D7D"/>
    <w:rsid w:val="280008FF"/>
    <w:rsid w:val="28050D91"/>
    <w:rsid w:val="280A73A7"/>
    <w:rsid w:val="280B0292"/>
    <w:rsid w:val="281035C6"/>
    <w:rsid w:val="28140E2A"/>
    <w:rsid w:val="2824417F"/>
    <w:rsid w:val="28255041"/>
    <w:rsid w:val="282B1213"/>
    <w:rsid w:val="2835725E"/>
    <w:rsid w:val="283832F0"/>
    <w:rsid w:val="283A1E3E"/>
    <w:rsid w:val="283F0B9A"/>
    <w:rsid w:val="284543A1"/>
    <w:rsid w:val="284716F2"/>
    <w:rsid w:val="28506F1C"/>
    <w:rsid w:val="285465E8"/>
    <w:rsid w:val="28553E1D"/>
    <w:rsid w:val="2859475D"/>
    <w:rsid w:val="2866568E"/>
    <w:rsid w:val="28693318"/>
    <w:rsid w:val="286B3B61"/>
    <w:rsid w:val="286C6B63"/>
    <w:rsid w:val="286D43F4"/>
    <w:rsid w:val="286F5A89"/>
    <w:rsid w:val="28754C0A"/>
    <w:rsid w:val="28765DD5"/>
    <w:rsid w:val="28821314"/>
    <w:rsid w:val="2891501A"/>
    <w:rsid w:val="28937E6D"/>
    <w:rsid w:val="289575D6"/>
    <w:rsid w:val="289C154A"/>
    <w:rsid w:val="28A378EA"/>
    <w:rsid w:val="28A66523"/>
    <w:rsid w:val="28AB4F28"/>
    <w:rsid w:val="28AD2029"/>
    <w:rsid w:val="28AE4FA7"/>
    <w:rsid w:val="28B11B4E"/>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41620"/>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8B4A0C"/>
    <w:rsid w:val="298C22CD"/>
    <w:rsid w:val="29981CF5"/>
    <w:rsid w:val="299C6B98"/>
    <w:rsid w:val="29A463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C6EB3"/>
    <w:rsid w:val="2A3E15CC"/>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90320"/>
    <w:rsid w:val="2B0C6B23"/>
    <w:rsid w:val="2B184057"/>
    <w:rsid w:val="2B19210F"/>
    <w:rsid w:val="2B1D6F4B"/>
    <w:rsid w:val="2B230331"/>
    <w:rsid w:val="2B2628D4"/>
    <w:rsid w:val="2B2B5653"/>
    <w:rsid w:val="2B2D1363"/>
    <w:rsid w:val="2B306C2A"/>
    <w:rsid w:val="2B335E16"/>
    <w:rsid w:val="2B3429F1"/>
    <w:rsid w:val="2B3A1DF7"/>
    <w:rsid w:val="2B3B1789"/>
    <w:rsid w:val="2B3B71ED"/>
    <w:rsid w:val="2B42025A"/>
    <w:rsid w:val="2B450516"/>
    <w:rsid w:val="2B4526E2"/>
    <w:rsid w:val="2B4722C4"/>
    <w:rsid w:val="2B4F4A14"/>
    <w:rsid w:val="2B527DF4"/>
    <w:rsid w:val="2B592A46"/>
    <w:rsid w:val="2B5B7165"/>
    <w:rsid w:val="2B611B55"/>
    <w:rsid w:val="2B662258"/>
    <w:rsid w:val="2B686C09"/>
    <w:rsid w:val="2B795BD8"/>
    <w:rsid w:val="2B8311DA"/>
    <w:rsid w:val="2B833F8F"/>
    <w:rsid w:val="2B8759DF"/>
    <w:rsid w:val="2B8B34AB"/>
    <w:rsid w:val="2B914C5E"/>
    <w:rsid w:val="2BA252E6"/>
    <w:rsid w:val="2BA53554"/>
    <w:rsid w:val="2BAC4FE7"/>
    <w:rsid w:val="2BB0363B"/>
    <w:rsid w:val="2BB44220"/>
    <w:rsid w:val="2BB61EA7"/>
    <w:rsid w:val="2BBA6EF5"/>
    <w:rsid w:val="2BBD5502"/>
    <w:rsid w:val="2BBE53B4"/>
    <w:rsid w:val="2BC03979"/>
    <w:rsid w:val="2BC873B9"/>
    <w:rsid w:val="2BC941AF"/>
    <w:rsid w:val="2BD01C8D"/>
    <w:rsid w:val="2BD67F06"/>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5375B"/>
    <w:rsid w:val="2C274174"/>
    <w:rsid w:val="2C2F1705"/>
    <w:rsid w:val="2C31232B"/>
    <w:rsid w:val="2C3147DC"/>
    <w:rsid w:val="2C395B9E"/>
    <w:rsid w:val="2C3B4053"/>
    <w:rsid w:val="2C3E67F9"/>
    <w:rsid w:val="2C416890"/>
    <w:rsid w:val="2C416E6F"/>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A28D3"/>
    <w:rsid w:val="2CBC4209"/>
    <w:rsid w:val="2CC12D54"/>
    <w:rsid w:val="2CC9390C"/>
    <w:rsid w:val="2CC9742A"/>
    <w:rsid w:val="2CCB3003"/>
    <w:rsid w:val="2CD17849"/>
    <w:rsid w:val="2CD47078"/>
    <w:rsid w:val="2CDA4FDA"/>
    <w:rsid w:val="2CDC7091"/>
    <w:rsid w:val="2CE128DC"/>
    <w:rsid w:val="2CE16D71"/>
    <w:rsid w:val="2CE27F26"/>
    <w:rsid w:val="2CED6828"/>
    <w:rsid w:val="2CF4201A"/>
    <w:rsid w:val="2CF8269C"/>
    <w:rsid w:val="2CF945A4"/>
    <w:rsid w:val="2CFD5C64"/>
    <w:rsid w:val="2D0128E8"/>
    <w:rsid w:val="2D0450C7"/>
    <w:rsid w:val="2D0A65F3"/>
    <w:rsid w:val="2D0C5A2F"/>
    <w:rsid w:val="2D0E231B"/>
    <w:rsid w:val="2D145154"/>
    <w:rsid w:val="2D1A1A6B"/>
    <w:rsid w:val="2D1A4915"/>
    <w:rsid w:val="2D1C670F"/>
    <w:rsid w:val="2D1F008D"/>
    <w:rsid w:val="2D210212"/>
    <w:rsid w:val="2D306B85"/>
    <w:rsid w:val="2D313196"/>
    <w:rsid w:val="2D323D75"/>
    <w:rsid w:val="2D3F06B2"/>
    <w:rsid w:val="2D400A9F"/>
    <w:rsid w:val="2D540857"/>
    <w:rsid w:val="2D590555"/>
    <w:rsid w:val="2D621C05"/>
    <w:rsid w:val="2D6A3C90"/>
    <w:rsid w:val="2D726428"/>
    <w:rsid w:val="2D770975"/>
    <w:rsid w:val="2D7A06F1"/>
    <w:rsid w:val="2D8151A4"/>
    <w:rsid w:val="2D8D147C"/>
    <w:rsid w:val="2DA02E9C"/>
    <w:rsid w:val="2DAC4521"/>
    <w:rsid w:val="2DB77121"/>
    <w:rsid w:val="2DBB1852"/>
    <w:rsid w:val="2DBF0C3E"/>
    <w:rsid w:val="2DBF1601"/>
    <w:rsid w:val="2DBF44A4"/>
    <w:rsid w:val="2DBF4C3A"/>
    <w:rsid w:val="2DC3265B"/>
    <w:rsid w:val="2DC464AC"/>
    <w:rsid w:val="2DC74F1E"/>
    <w:rsid w:val="2DD06A7C"/>
    <w:rsid w:val="2DD06AF3"/>
    <w:rsid w:val="2DDD1D4C"/>
    <w:rsid w:val="2DE66249"/>
    <w:rsid w:val="2DEA21A7"/>
    <w:rsid w:val="2DF04CFF"/>
    <w:rsid w:val="2DF6091F"/>
    <w:rsid w:val="2DF77C3F"/>
    <w:rsid w:val="2DF80479"/>
    <w:rsid w:val="2DFA6574"/>
    <w:rsid w:val="2DFB6F69"/>
    <w:rsid w:val="2E001622"/>
    <w:rsid w:val="2E0062BD"/>
    <w:rsid w:val="2E023C26"/>
    <w:rsid w:val="2E040A80"/>
    <w:rsid w:val="2E095C19"/>
    <w:rsid w:val="2E0F3A78"/>
    <w:rsid w:val="2E1530A6"/>
    <w:rsid w:val="2E160B5E"/>
    <w:rsid w:val="2E1859B1"/>
    <w:rsid w:val="2E190FE7"/>
    <w:rsid w:val="2E195433"/>
    <w:rsid w:val="2E2630D7"/>
    <w:rsid w:val="2E275653"/>
    <w:rsid w:val="2E2806DD"/>
    <w:rsid w:val="2E2A4425"/>
    <w:rsid w:val="2E2F3046"/>
    <w:rsid w:val="2E302808"/>
    <w:rsid w:val="2E3A3030"/>
    <w:rsid w:val="2E3C084B"/>
    <w:rsid w:val="2E3F16E2"/>
    <w:rsid w:val="2E46069F"/>
    <w:rsid w:val="2E4B21B3"/>
    <w:rsid w:val="2E504076"/>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C714E"/>
    <w:rsid w:val="2EEA307E"/>
    <w:rsid w:val="2EEF6737"/>
    <w:rsid w:val="2EF276DC"/>
    <w:rsid w:val="2EF53C20"/>
    <w:rsid w:val="2EFC5DDD"/>
    <w:rsid w:val="2F002CCF"/>
    <w:rsid w:val="2F0160A3"/>
    <w:rsid w:val="2F18561C"/>
    <w:rsid w:val="2F1A491A"/>
    <w:rsid w:val="2F1C3DF5"/>
    <w:rsid w:val="2F284812"/>
    <w:rsid w:val="2F2960CC"/>
    <w:rsid w:val="2F2B3D4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A12C61"/>
    <w:rsid w:val="2FA21231"/>
    <w:rsid w:val="2FAB4ABF"/>
    <w:rsid w:val="2FAD4759"/>
    <w:rsid w:val="2FAD5866"/>
    <w:rsid w:val="2FAE1EFC"/>
    <w:rsid w:val="2FB4059E"/>
    <w:rsid w:val="2FB46FC7"/>
    <w:rsid w:val="2FB53FD2"/>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62C31"/>
    <w:rsid w:val="2FF95633"/>
    <w:rsid w:val="2FFD391C"/>
    <w:rsid w:val="30010F70"/>
    <w:rsid w:val="300F7F13"/>
    <w:rsid w:val="30146B19"/>
    <w:rsid w:val="30151A88"/>
    <w:rsid w:val="301C0A49"/>
    <w:rsid w:val="301E3C00"/>
    <w:rsid w:val="302757BF"/>
    <w:rsid w:val="302E1CAD"/>
    <w:rsid w:val="302F0C7E"/>
    <w:rsid w:val="30354430"/>
    <w:rsid w:val="303B62EC"/>
    <w:rsid w:val="303F616B"/>
    <w:rsid w:val="3042736A"/>
    <w:rsid w:val="3045713F"/>
    <w:rsid w:val="30486EA7"/>
    <w:rsid w:val="30500A5C"/>
    <w:rsid w:val="305447A9"/>
    <w:rsid w:val="305F558E"/>
    <w:rsid w:val="306B4848"/>
    <w:rsid w:val="30752E77"/>
    <w:rsid w:val="308018A6"/>
    <w:rsid w:val="30804E19"/>
    <w:rsid w:val="3090288F"/>
    <w:rsid w:val="309B0CFB"/>
    <w:rsid w:val="309B2EEC"/>
    <w:rsid w:val="309E4272"/>
    <w:rsid w:val="30AE56DC"/>
    <w:rsid w:val="30B7307E"/>
    <w:rsid w:val="30BB5407"/>
    <w:rsid w:val="30BF034E"/>
    <w:rsid w:val="30C21A0E"/>
    <w:rsid w:val="30C45386"/>
    <w:rsid w:val="30DC45E8"/>
    <w:rsid w:val="30DD6027"/>
    <w:rsid w:val="30DE16AB"/>
    <w:rsid w:val="30E1221A"/>
    <w:rsid w:val="30E734EF"/>
    <w:rsid w:val="30F24AB3"/>
    <w:rsid w:val="30F44A95"/>
    <w:rsid w:val="30F77A98"/>
    <w:rsid w:val="30FA21D8"/>
    <w:rsid w:val="30FC2A23"/>
    <w:rsid w:val="30FE2DDD"/>
    <w:rsid w:val="31154308"/>
    <w:rsid w:val="31197ABC"/>
    <w:rsid w:val="311D5B14"/>
    <w:rsid w:val="31243A63"/>
    <w:rsid w:val="312723F9"/>
    <w:rsid w:val="312D0545"/>
    <w:rsid w:val="312D1F98"/>
    <w:rsid w:val="3136546A"/>
    <w:rsid w:val="313A5584"/>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90F33"/>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BB1182"/>
    <w:rsid w:val="31C363A1"/>
    <w:rsid w:val="31CA5CF8"/>
    <w:rsid w:val="31CB26CD"/>
    <w:rsid w:val="31CF2CD1"/>
    <w:rsid w:val="31D02964"/>
    <w:rsid w:val="31D0417E"/>
    <w:rsid w:val="31D06A52"/>
    <w:rsid w:val="31D216CC"/>
    <w:rsid w:val="31E302B9"/>
    <w:rsid w:val="31E83A8A"/>
    <w:rsid w:val="31F20023"/>
    <w:rsid w:val="31F31FF7"/>
    <w:rsid w:val="31F52FE4"/>
    <w:rsid w:val="31F536F7"/>
    <w:rsid w:val="31FA7AEE"/>
    <w:rsid w:val="31FB60C5"/>
    <w:rsid w:val="32016F71"/>
    <w:rsid w:val="32021A78"/>
    <w:rsid w:val="3209100C"/>
    <w:rsid w:val="321E250B"/>
    <w:rsid w:val="32226597"/>
    <w:rsid w:val="322A5516"/>
    <w:rsid w:val="322B6C88"/>
    <w:rsid w:val="322C6DC4"/>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00519"/>
    <w:rsid w:val="3272101B"/>
    <w:rsid w:val="32722131"/>
    <w:rsid w:val="327A3DD6"/>
    <w:rsid w:val="327E6AD8"/>
    <w:rsid w:val="328301EA"/>
    <w:rsid w:val="32864FED"/>
    <w:rsid w:val="32926F1E"/>
    <w:rsid w:val="32946A84"/>
    <w:rsid w:val="329747D6"/>
    <w:rsid w:val="329B3044"/>
    <w:rsid w:val="329B6479"/>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6450"/>
    <w:rsid w:val="32FE6CF6"/>
    <w:rsid w:val="330066D7"/>
    <w:rsid w:val="330244A4"/>
    <w:rsid w:val="3304026E"/>
    <w:rsid w:val="33066388"/>
    <w:rsid w:val="330F1E44"/>
    <w:rsid w:val="331747E7"/>
    <w:rsid w:val="331B37C6"/>
    <w:rsid w:val="331C390F"/>
    <w:rsid w:val="33222F7E"/>
    <w:rsid w:val="33252813"/>
    <w:rsid w:val="33362AD0"/>
    <w:rsid w:val="333A0536"/>
    <w:rsid w:val="333E0FE1"/>
    <w:rsid w:val="333F4C47"/>
    <w:rsid w:val="333F6941"/>
    <w:rsid w:val="33444CAD"/>
    <w:rsid w:val="334D7767"/>
    <w:rsid w:val="33546645"/>
    <w:rsid w:val="33610DDA"/>
    <w:rsid w:val="3362171F"/>
    <w:rsid w:val="3366319E"/>
    <w:rsid w:val="336A11D9"/>
    <w:rsid w:val="336C2B69"/>
    <w:rsid w:val="336D2A73"/>
    <w:rsid w:val="336F5120"/>
    <w:rsid w:val="337009B5"/>
    <w:rsid w:val="337333AD"/>
    <w:rsid w:val="33767D1F"/>
    <w:rsid w:val="337E361F"/>
    <w:rsid w:val="337F446B"/>
    <w:rsid w:val="338D4CD1"/>
    <w:rsid w:val="338E29B0"/>
    <w:rsid w:val="338F74B8"/>
    <w:rsid w:val="3390342D"/>
    <w:rsid w:val="33907648"/>
    <w:rsid w:val="33924A39"/>
    <w:rsid w:val="3397281E"/>
    <w:rsid w:val="339902E6"/>
    <w:rsid w:val="339D35FC"/>
    <w:rsid w:val="33A156DE"/>
    <w:rsid w:val="33A42C7A"/>
    <w:rsid w:val="33B52233"/>
    <w:rsid w:val="33B53584"/>
    <w:rsid w:val="33B70359"/>
    <w:rsid w:val="33BA1B32"/>
    <w:rsid w:val="33BE01F6"/>
    <w:rsid w:val="33BF7141"/>
    <w:rsid w:val="33CB205A"/>
    <w:rsid w:val="33CC574C"/>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A62A2"/>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4594A"/>
    <w:rsid w:val="347F540F"/>
    <w:rsid w:val="34863322"/>
    <w:rsid w:val="34885DB3"/>
    <w:rsid w:val="348D003D"/>
    <w:rsid w:val="348F0ED3"/>
    <w:rsid w:val="348F7A0E"/>
    <w:rsid w:val="34975090"/>
    <w:rsid w:val="349A0B7D"/>
    <w:rsid w:val="34A851E8"/>
    <w:rsid w:val="34A92857"/>
    <w:rsid w:val="34A94ADA"/>
    <w:rsid w:val="34A97BFE"/>
    <w:rsid w:val="34B51A96"/>
    <w:rsid w:val="34BF1CD4"/>
    <w:rsid w:val="34C56285"/>
    <w:rsid w:val="34C800BD"/>
    <w:rsid w:val="34C936CD"/>
    <w:rsid w:val="34CB683C"/>
    <w:rsid w:val="34CC1DC7"/>
    <w:rsid w:val="34CD15EB"/>
    <w:rsid w:val="34D47C8A"/>
    <w:rsid w:val="34D874E5"/>
    <w:rsid w:val="34DB0CAC"/>
    <w:rsid w:val="34DD3DF9"/>
    <w:rsid w:val="34E972FC"/>
    <w:rsid w:val="34F83EF3"/>
    <w:rsid w:val="34F90010"/>
    <w:rsid w:val="34F953E0"/>
    <w:rsid w:val="34FB3AF7"/>
    <w:rsid w:val="34FF2166"/>
    <w:rsid w:val="3503286C"/>
    <w:rsid w:val="350A773D"/>
    <w:rsid w:val="350B69C5"/>
    <w:rsid w:val="350D514D"/>
    <w:rsid w:val="350F2D16"/>
    <w:rsid w:val="351C075B"/>
    <w:rsid w:val="351E33A2"/>
    <w:rsid w:val="35200E70"/>
    <w:rsid w:val="352147D7"/>
    <w:rsid w:val="35233F18"/>
    <w:rsid w:val="352349AE"/>
    <w:rsid w:val="3524348B"/>
    <w:rsid w:val="35295D65"/>
    <w:rsid w:val="352B5169"/>
    <w:rsid w:val="353230EA"/>
    <w:rsid w:val="35333FF2"/>
    <w:rsid w:val="353834AB"/>
    <w:rsid w:val="3539596F"/>
    <w:rsid w:val="353C4905"/>
    <w:rsid w:val="353C75ED"/>
    <w:rsid w:val="353E791E"/>
    <w:rsid w:val="354008AB"/>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86D4F"/>
    <w:rsid w:val="357960B4"/>
    <w:rsid w:val="35796C07"/>
    <w:rsid w:val="358323BB"/>
    <w:rsid w:val="358618B0"/>
    <w:rsid w:val="3589285D"/>
    <w:rsid w:val="35967E5E"/>
    <w:rsid w:val="3598497A"/>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1226"/>
    <w:rsid w:val="36163688"/>
    <w:rsid w:val="361A2F27"/>
    <w:rsid w:val="3624711B"/>
    <w:rsid w:val="36265F04"/>
    <w:rsid w:val="36266913"/>
    <w:rsid w:val="362952D6"/>
    <w:rsid w:val="36297754"/>
    <w:rsid w:val="362E3970"/>
    <w:rsid w:val="362F3A87"/>
    <w:rsid w:val="363210F7"/>
    <w:rsid w:val="363F4D43"/>
    <w:rsid w:val="3640112F"/>
    <w:rsid w:val="36407BF2"/>
    <w:rsid w:val="36486576"/>
    <w:rsid w:val="364A08D8"/>
    <w:rsid w:val="364B2312"/>
    <w:rsid w:val="364F7BB1"/>
    <w:rsid w:val="365955CF"/>
    <w:rsid w:val="365F765A"/>
    <w:rsid w:val="36627C0A"/>
    <w:rsid w:val="36642D30"/>
    <w:rsid w:val="36693B36"/>
    <w:rsid w:val="366B0AAA"/>
    <w:rsid w:val="366B6257"/>
    <w:rsid w:val="366D49A8"/>
    <w:rsid w:val="36701C31"/>
    <w:rsid w:val="36720A4C"/>
    <w:rsid w:val="36752210"/>
    <w:rsid w:val="3681695C"/>
    <w:rsid w:val="36820E97"/>
    <w:rsid w:val="36884498"/>
    <w:rsid w:val="36922B55"/>
    <w:rsid w:val="36991125"/>
    <w:rsid w:val="369B6D1A"/>
    <w:rsid w:val="369C60C5"/>
    <w:rsid w:val="369E44B4"/>
    <w:rsid w:val="36A312B2"/>
    <w:rsid w:val="36A35C4C"/>
    <w:rsid w:val="36A5021A"/>
    <w:rsid w:val="36A9265A"/>
    <w:rsid w:val="36A9393B"/>
    <w:rsid w:val="36AA239C"/>
    <w:rsid w:val="36B121C7"/>
    <w:rsid w:val="36B2486C"/>
    <w:rsid w:val="36B307B1"/>
    <w:rsid w:val="36BA14F4"/>
    <w:rsid w:val="36C45C2A"/>
    <w:rsid w:val="36CB04A2"/>
    <w:rsid w:val="36CD7CBA"/>
    <w:rsid w:val="36D009E5"/>
    <w:rsid w:val="36D265FE"/>
    <w:rsid w:val="36D27C18"/>
    <w:rsid w:val="36D512A9"/>
    <w:rsid w:val="36D85209"/>
    <w:rsid w:val="36D934D3"/>
    <w:rsid w:val="36D94280"/>
    <w:rsid w:val="36DA1950"/>
    <w:rsid w:val="36DE2053"/>
    <w:rsid w:val="36E07ED3"/>
    <w:rsid w:val="36E222AF"/>
    <w:rsid w:val="36F03F0E"/>
    <w:rsid w:val="36F414F3"/>
    <w:rsid w:val="36F902E0"/>
    <w:rsid w:val="37002C93"/>
    <w:rsid w:val="37021B28"/>
    <w:rsid w:val="37036DCD"/>
    <w:rsid w:val="37086DBC"/>
    <w:rsid w:val="370974B4"/>
    <w:rsid w:val="370D0F30"/>
    <w:rsid w:val="37126487"/>
    <w:rsid w:val="37194334"/>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D402E"/>
    <w:rsid w:val="375D4473"/>
    <w:rsid w:val="37615F3C"/>
    <w:rsid w:val="37663E25"/>
    <w:rsid w:val="376B106B"/>
    <w:rsid w:val="377963D6"/>
    <w:rsid w:val="377A5D14"/>
    <w:rsid w:val="378075A4"/>
    <w:rsid w:val="3783595B"/>
    <w:rsid w:val="37840F0B"/>
    <w:rsid w:val="3786706C"/>
    <w:rsid w:val="378772DD"/>
    <w:rsid w:val="378917C1"/>
    <w:rsid w:val="378A731A"/>
    <w:rsid w:val="378E3617"/>
    <w:rsid w:val="37931A90"/>
    <w:rsid w:val="379A0451"/>
    <w:rsid w:val="37A4082B"/>
    <w:rsid w:val="37A4627C"/>
    <w:rsid w:val="37A530D5"/>
    <w:rsid w:val="37A643C8"/>
    <w:rsid w:val="37AE534B"/>
    <w:rsid w:val="37AF0370"/>
    <w:rsid w:val="37B1214B"/>
    <w:rsid w:val="37B336FE"/>
    <w:rsid w:val="37B5292C"/>
    <w:rsid w:val="37BA0AFA"/>
    <w:rsid w:val="37BA6351"/>
    <w:rsid w:val="37C0226A"/>
    <w:rsid w:val="37C265EA"/>
    <w:rsid w:val="37C93B72"/>
    <w:rsid w:val="37CC231E"/>
    <w:rsid w:val="37CC50A4"/>
    <w:rsid w:val="37D644F2"/>
    <w:rsid w:val="37E22653"/>
    <w:rsid w:val="37ED5E3A"/>
    <w:rsid w:val="37EF1B98"/>
    <w:rsid w:val="37F311D3"/>
    <w:rsid w:val="37F7242F"/>
    <w:rsid w:val="37FA475D"/>
    <w:rsid w:val="37FD1EC6"/>
    <w:rsid w:val="380579FE"/>
    <w:rsid w:val="380A2EB4"/>
    <w:rsid w:val="38157509"/>
    <w:rsid w:val="38194CC2"/>
    <w:rsid w:val="381D5340"/>
    <w:rsid w:val="382150C9"/>
    <w:rsid w:val="38224D22"/>
    <w:rsid w:val="382372FE"/>
    <w:rsid w:val="38284CDE"/>
    <w:rsid w:val="38290CA5"/>
    <w:rsid w:val="382D297A"/>
    <w:rsid w:val="382F19E6"/>
    <w:rsid w:val="38336594"/>
    <w:rsid w:val="383B2EED"/>
    <w:rsid w:val="38463F5F"/>
    <w:rsid w:val="384C2D57"/>
    <w:rsid w:val="38507973"/>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72A6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45926"/>
    <w:rsid w:val="38E46191"/>
    <w:rsid w:val="38E95E5D"/>
    <w:rsid w:val="38EB7945"/>
    <w:rsid w:val="38EC260C"/>
    <w:rsid w:val="38EF0DB7"/>
    <w:rsid w:val="38F50C85"/>
    <w:rsid w:val="39065A02"/>
    <w:rsid w:val="39105718"/>
    <w:rsid w:val="39147611"/>
    <w:rsid w:val="39243C63"/>
    <w:rsid w:val="392A70E2"/>
    <w:rsid w:val="392B6A4C"/>
    <w:rsid w:val="393232FB"/>
    <w:rsid w:val="393544DD"/>
    <w:rsid w:val="393962EC"/>
    <w:rsid w:val="393F6CD7"/>
    <w:rsid w:val="39457868"/>
    <w:rsid w:val="394620D9"/>
    <w:rsid w:val="39462EDC"/>
    <w:rsid w:val="394935B8"/>
    <w:rsid w:val="394C557A"/>
    <w:rsid w:val="39500691"/>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3075A"/>
    <w:rsid w:val="3A181AC2"/>
    <w:rsid w:val="3A1A155D"/>
    <w:rsid w:val="3A1A5D0A"/>
    <w:rsid w:val="3A237175"/>
    <w:rsid w:val="3A264A9F"/>
    <w:rsid w:val="3A2B2AA6"/>
    <w:rsid w:val="3A2E67B0"/>
    <w:rsid w:val="3A3D5DAF"/>
    <w:rsid w:val="3A443D4B"/>
    <w:rsid w:val="3A4C7B97"/>
    <w:rsid w:val="3A543180"/>
    <w:rsid w:val="3A616CAD"/>
    <w:rsid w:val="3A711C68"/>
    <w:rsid w:val="3A7927E8"/>
    <w:rsid w:val="3A796E46"/>
    <w:rsid w:val="3A7C159F"/>
    <w:rsid w:val="3A7C2CDA"/>
    <w:rsid w:val="3A81194F"/>
    <w:rsid w:val="3A8B3C77"/>
    <w:rsid w:val="3A907B14"/>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04B53"/>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53F43"/>
    <w:rsid w:val="3B7B1D0B"/>
    <w:rsid w:val="3B7B3C57"/>
    <w:rsid w:val="3B850B78"/>
    <w:rsid w:val="3B86470F"/>
    <w:rsid w:val="3B873119"/>
    <w:rsid w:val="3B91439F"/>
    <w:rsid w:val="3B9A4A30"/>
    <w:rsid w:val="3B9C2663"/>
    <w:rsid w:val="3B9C285E"/>
    <w:rsid w:val="3BA17E84"/>
    <w:rsid w:val="3BA35FC1"/>
    <w:rsid w:val="3BA566FD"/>
    <w:rsid w:val="3BA7008A"/>
    <w:rsid w:val="3BAF052C"/>
    <w:rsid w:val="3BB40DC9"/>
    <w:rsid w:val="3BB47D9F"/>
    <w:rsid w:val="3BB8361B"/>
    <w:rsid w:val="3BBE5671"/>
    <w:rsid w:val="3BCE402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363B"/>
    <w:rsid w:val="3C0B6499"/>
    <w:rsid w:val="3C0E09BE"/>
    <w:rsid w:val="3C0F1954"/>
    <w:rsid w:val="3C0F347A"/>
    <w:rsid w:val="3C104621"/>
    <w:rsid w:val="3C1071B6"/>
    <w:rsid w:val="3C1B14F3"/>
    <w:rsid w:val="3C1E1E84"/>
    <w:rsid w:val="3C1E391D"/>
    <w:rsid w:val="3C21000D"/>
    <w:rsid w:val="3C237821"/>
    <w:rsid w:val="3C265F23"/>
    <w:rsid w:val="3C294498"/>
    <w:rsid w:val="3C2A1C6F"/>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B1342"/>
    <w:rsid w:val="3C7C6F84"/>
    <w:rsid w:val="3C7E65EC"/>
    <w:rsid w:val="3C812838"/>
    <w:rsid w:val="3C826AA5"/>
    <w:rsid w:val="3C8555A2"/>
    <w:rsid w:val="3C867450"/>
    <w:rsid w:val="3C915B7E"/>
    <w:rsid w:val="3C971009"/>
    <w:rsid w:val="3C9D34AC"/>
    <w:rsid w:val="3C9E64A0"/>
    <w:rsid w:val="3CA159BD"/>
    <w:rsid w:val="3CA41337"/>
    <w:rsid w:val="3CA95FB0"/>
    <w:rsid w:val="3CAA38C3"/>
    <w:rsid w:val="3CAA5481"/>
    <w:rsid w:val="3CAC1109"/>
    <w:rsid w:val="3CB338D6"/>
    <w:rsid w:val="3CB36CF4"/>
    <w:rsid w:val="3CB61240"/>
    <w:rsid w:val="3CBA78F5"/>
    <w:rsid w:val="3CBD1FF1"/>
    <w:rsid w:val="3CBD5A0F"/>
    <w:rsid w:val="3CBF5299"/>
    <w:rsid w:val="3CBF7818"/>
    <w:rsid w:val="3CC226D6"/>
    <w:rsid w:val="3CC24098"/>
    <w:rsid w:val="3CC26B63"/>
    <w:rsid w:val="3CC42B41"/>
    <w:rsid w:val="3CC71C25"/>
    <w:rsid w:val="3CCC4D4D"/>
    <w:rsid w:val="3CCD7DE2"/>
    <w:rsid w:val="3CCE0448"/>
    <w:rsid w:val="3CD71E34"/>
    <w:rsid w:val="3CD93A3D"/>
    <w:rsid w:val="3CDB5D82"/>
    <w:rsid w:val="3CDE394C"/>
    <w:rsid w:val="3CE54B9F"/>
    <w:rsid w:val="3CE86761"/>
    <w:rsid w:val="3CEC51B9"/>
    <w:rsid w:val="3CEF3B27"/>
    <w:rsid w:val="3CF619DB"/>
    <w:rsid w:val="3CF86E9C"/>
    <w:rsid w:val="3CF87328"/>
    <w:rsid w:val="3CFD37E7"/>
    <w:rsid w:val="3CFE44BF"/>
    <w:rsid w:val="3D01412D"/>
    <w:rsid w:val="3D035272"/>
    <w:rsid w:val="3D0B7E6F"/>
    <w:rsid w:val="3D0F1231"/>
    <w:rsid w:val="3D130342"/>
    <w:rsid w:val="3D163A6F"/>
    <w:rsid w:val="3D184661"/>
    <w:rsid w:val="3D190944"/>
    <w:rsid w:val="3D1A758B"/>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8F350F"/>
    <w:rsid w:val="3D917A42"/>
    <w:rsid w:val="3D9816B4"/>
    <w:rsid w:val="3D990197"/>
    <w:rsid w:val="3D9A0655"/>
    <w:rsid w:val="3D9D4DFB"/>
    <w:rsid w:val="3DA22306"/>
    <w:rsid w:val="3DA9667F"/>
    <w:rsid w:val="3DAA1B3A"/>
    <w:rsid w:val="3DB17297"/>
    <w:rsid w:val="3DBB6C89"/>
    <w:rsid w:val="3DCD6921"/>
    <w:rsid w:val="3DCE2BD5"/>
    <w:rsid w:val="3DD16176"/>
    <w:rsid w:val="3DD67156"/>
    <w:rsid w:val="3DD745F2"/>
    <w:rsid w:val="3DE04FCE"/>
    <w:rsid w:val="3DE26B28"/>
    <w:rsid w:val="3DE37514"/>
    <w:rsid w:val="3DE548AC"/>
    <w:rsid w:val="3DE653F8"/>
    <w:rsid w:val="3DE72673"/>
    <w:rsid w:val="3DEB1255"/>
    <w:rsid w:val="3DEE1FBE"/>
    <w:rsid w:val="3DEE62E8"/>
    <w:rsid w:val="3DF028C5"/>
    <w:rsid w:val="3DF94D6E"/>
    <w:rsid w:val="3E0448CB"/>
    <w:rsid w:val="3E050B41"/>
    <w:rsid w:val="3E073B6A"/>
    <w:rsid w:val="3E0918A5"/>
    <w:rsid w:val="3E0F25EA"/>
    <w:rsid w:val="3E146F59"/>
    <w:rsid w:val="3E197897"/>
    <w:rsid w:val="3E220E05"/>
    <w:rsid w:val="3E22755F"/>
    <w:rsid w:val="3E237BCC"/>
    <w:rsid w:val="3E255AC9"/>
    <w:rsid w:val="3E271063"/>
    <w:rsid w:val="3E3419DC"/>
    <w:rsid w:val="3E376233"/>
    <w:rsid w:val="3E3C5F3C"/>
    <w:rsid w:val="3E3E306A"/>
    <w:rsid w:val="3E3F2CA0"/>
    <w:rsid w:val="3E454B0D"/>
    <w:rsid w:val="3E463CA5"/>
    <w:rsid w:val="3E46739D"/>
    <w:rsid w:val="3E4B2DC3"/>
    <w:rsid w:val="3E535A69"/>
    <w:rsid w:val="3E583BB7"/>
    <w:rsid w:val="3E5A1D01"/>
    <w:rsid w:val="3E5B12DC"/>
    <w:rsid w:val="3E623E46"/>
    <w:rsid w:val="3E63159D"/>
    <w:rsid w:val="3E667FB0"/>
    <w:rsid w:val="3E680BF1"/>
    <w:rsid w:val="3E6953E3"/>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824AB"/>
    <w:rsid w:val="3EAC3BDD"/>
    <w:rsid w:val="3EB767A1"/>
    <w:rsid w:val="3EBB7EC0"/>
    <w:rsid w:val="3EC055C8"/>
    <w:rsid w:val="3EC31440"/>
    <w:rsid w:val="3EC41A48"/>
    <w:rsid w:val="3EC5174F"/>
    <w:rsid w:val="3EC51CAD"/>
    <w:rsid w:val="3EC720C9"/>
    <w:rsid w:val="3EC80A9D"/>
    <w:rsid w:val="3EC824C2"/>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F01F0"/>
    <w:rsid w:val="3F3C6744"/>
    <w:rsid w:val="3F421D47"/>
    <w:rsid w:val="3F441B08"/>
    <w:rsid w:val="3F4A4087"/>
    <w:rsid w:val="3F5361F5"/>
    <w:rsid w:val="3F555F0F"/>
    <w:rsid w:val="3F556D23"/>
    <w:rsid w:val="3F5A4F9D"/>
    <w:rsid w:val="3F673021"/>
    <w:rsid w:val="3F6B3632"/>
    <w:rsid w:val="3F742249"/>
    <w:rsid w:val="3F7755AE"/>
    <w:rsid w:val="3F776E0A"/>
    <w:rsid w:val="3F8978E2"/>
    <w:rsid w:val="3F940D9B"/>
    <w:rsid w:val="3F952814"/>
    <w:rsid w:val="3F956B94"/>
    <w:rsid w:val="3F9C0821"/>
    <w:rsid w:val="3F9C213C"/>
    <w:rsid w:val="3FA113C4"/>
    <w:rsid w:val="3FA41C63"/>
    <w:rsid w:val="3FAB100B"/>
    <w:rsid w:val="3FAB3D87"/>
    <w:rsid w:val="3FAB41A2"/>
    <w:rsid w:val="3FAE47F6"/>
    <w:rsid w:val="3FB03D8B"/>
    <w:rsid w:val="3FB77F5A"/>
    <w:rsid w:val="3FBB4BEF"/>
    <w:rsid w:val="3FBE30B8"/>
    <w:rsid w:val="3FCF604C"/>
    <w:rsid w:val="3FD210AC"/>
    <w:rsid w:val="3FD53CFE"/>
    <w:rsid w:val="3FD9316A"/>
    <w:rsid w:val="3FE1096B"/>
    <w:rsid w:val="3FE210C1"/>
    <w:rsid w:val="3FE417DA"/>
    <w:rsid w:val="3FEB1C22"/>
    <w:rsid w:val="3FEE2117"/>
    <w:rsid w:val="3FFA58A6"/>
    <w:rsid w:val="3FFA5C63"/>
    <w:rsid w:val="40073561"/>
    <w:rsid w:val="400A1CFC"/>
    <w:rsid w:val="401D6DEE"/>
    <w:rsid w:val="401F7AF6"/>
    <w:rsid w:val="40201634"/>
    <w:rsid w:val="402079EB"/>
    <w:rsid w:val="40211B76"/>
    <w:rsid w:val="402C52D5"/>
    <w:rsid w:val="40360E64"/>
    <w:rsid w:val="40372C35"/>
    <w:rsid w:val="403870E4"/>
    <w:rsid w:val="403D2472"/>
    <w:rsid w:val="403D7C5C"/>
    <w:rsid w:val="40400533"/>
    <w:rsid w:val="40407A9F"/>
    <w:rsid w:val="4048358D"/>
    <w:rsid w:val="4049754C"/>
    <w:rsid w:val="404B2521"/>
    <w:rsid w:val="404F7DEB"/>
    <w:rsid w:val="40572DA6"/>
    <w:rsid w:val="405A424E"/>
    <w:rsid w:val="406D461C"/>
    <w:rsid w:val="406F7D87"/>
    <w:rsid w:val="407441CC"/>
    <w:rsid w:val="40786FBC"/>
    <w:rsid w:val="407A5C67"/>
    <w:rsid w:val="407B4FD0"/>
    <w:rsid w:val="40801F54"/>
    <w:rsid w:val="40825FDB"/>
    <w:rsid w:val="40836EAD"/>
    <w:rsid w:val="40907287"/>
    <w:rsid w:val="409238F2"/>
    <w:rsid w:val="40930EBC"/>
    <w:rsid w:val="40953EC0"/>
    <w:rsid w:val="409D027A"/>
    <w:rsid w:val="409F75BB"/>
    <w:rsid w:val="40AB3054"/>
    <w:rsid w:val="40AE78C1"/>
    <w:rsid w:val="40AF2B72"/>
    <w:rsid w:val="40BC2A4B"/>
    <w:rsid w:val="40BD153A"/>
    <w:rsid w:val="40C2126A"/>
    <w:rsid w:val="40C3250A"/>
    <w:rsid w:val="40CD7BD8"/>
    <w:rsid w:val="40CE24AF"/>
    <w:rsid w:val="40D022F1"/>
    <w:rsid w:val="40D0423C"/>
    <w:rsid w:val="40D07371"/>
    <w:rsid w:val="40D72999"/>
    <w:rsid w:val="40DF3ABC"/>
    <w:rsid w:val="40E75AF0"/>
    <w:rsid w:val="40E87142"/>
    <w:rsid w:val="40EF3C78"/>
    <w:rsid w:val="40F00A85"/>
    <w:rsid w:val="40F1013C"/>
    <w:rsid w:val="40F35427"/>
    <w:rsid w:val="40FA38BC"/>
    <w:rsid w:val="40FE1447"/>
    <w:rsid w:val="41053DED"/>
    <w:rsid w:val="41057362"/>
    <w:rsid w:val="41152FD4"/>
    <w:rsid w:val="41216875"/>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6119"/>
    <w:rsid w:val="419B3B43"/>
    <w:rsid w:val="41A30D6F"/>
    <w:rsid w:val="41A63744"/>
    <w:rsid w:val="41A85E90"/>
    <w:rsid w:val="41AB3AB1"/>
    <w:rsid w:val="41AC6BA3"/>
    <w:rsid w:val="41AD5F07"/>
    <w:rsid w:val="41B730A3"/>
    <w:rsid w:val="41B737E0"/>
    <w:rsid w:val="41B77B6D"/>
    <w:rsid w:val="41BA081E"/>
    <w:rsid w:val="41C20F3F"/>
    <w:rsid w:val="41CF504E"/>
    <w:rsid w:val="41D1580B"/>
    <w:rsid w:val="41D57639"/>
    <w:rsid w:val="41DC5EDF"/>
    <w:rsid w:val="41DD05DE"/>
    <w:rsid w:val="41E4117E"/>
    <w:rsid w:val="41E41803"/>
    <w:rsid w:val="41E52CA5"/>
    <w:rsid w:val="41E6368B"/>
    <w:rsid w:val="41E70652"/>
    <w:rsid w:val="41F04C42"/>
    <w:rsid w:val="41F07014"/>
    <w:rsid w:val="41F24303"/>
    <w:rsid w:val="41F52080"/>
    <w:rsid w:val="41F94D40"/>
    <w:rsid w:val="41FB53E3"/>
    <w:rsid w:val="41FD1048"/>
    <w:rsid w:val="42001B5D"/>
    <w:rsid w:val="420850A2"/>
    <w:rsid w:val="42097561"/>
    <w:rsid w:val="420C7ACC"/>
    <w:rsid w:val="4214724C"/>
    <w:rsid w:val="421555B3"/>
    <w:rsid w:val="42163592"/>
    <w:rsid w:val="421B1059"/>
    <w:rsid w:val="422370F9"/>
    <w:rsid w:val="42294221"/>
    <w:rsid w:val="422C32BD"/>
    <w:rsid w:val="422E207E"/>
    <w:rsid w:val="423038F8"/>
    <w:rsid w:val="4238424D"/>
    <w:rsid w:val="42413CE4"/>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86633"/>
    <w:rsid w:val="428A607C"/>
    <w:rsid w:val="429110B8"/>
    <w:rsid w:val="4295760D"/>
    <w:rsid w:val="429A29B1"/>
    <w:rsid w:val="429B2A93"/>
    <w:rsid w:val="429C1606"/>
    <w:rsid w:val="42A50044"/>
    <w:rsid w:val="42A87389"/>
    <w:rsid w:val="42B63D6B"/>
    <w:rsid w:val="42B92FAE"/>
    <w:rsid w:val="42C5796D"/>
    <w:rsid w:val="42D02E55"/>
    <w:rsid w:val="42D216FF"/>
    <w:rsid w:val="42D420EA"/>
    <w:rsid w:val="42D67001"/>
    <w:rsid w:val="42DB4A6C"/>
    <w:rsid w:val="42E06A10"/>
    <w:rsid w:val="42EF51EC"/>
    <w:rsid w:val="42F46A4C"/>
    <w:rsid w:val="42F503E1"/>
    <w:rsid w:val="42F511BA"/>
    <w:rsid w:val="42F875D5"/>
    <w:rsid w:val="43073BEF"/>
    <w:rsid w:val="430A5FFD"/>
    <w:rsid w:val="43112BE5"/>
    <w:rsid w:val="43120C73"/>
    <w:rsid w:val="43185992"/>
    <w:rsid w:val="431B56C6"/>
    <w:rsid w:val="431C7B04"/>
    <w:rsid w:val="431F752B"/>
    <w:rsid w:val="432466AA"/>
    <w:rsid w:val="432B0FC9"/>
    <w:rsid w:val="432E5E21"/>
    <w:rsid w:val="432F4EDA"/>
    <w:rsid w:val="43315D2E"/>
    <w:rsid w:val="4334749B"/>
    <w:rsid w:val="433C41B8"/>
    <w:rsid w:val="433D2335"/>
    <w:rsid w:val="433F57C3"/>
    <w:rsid w:val="43426A44"/>
    <w:rsid w:val="43443162"/>
    <w:rsid w:val="434660C5"/>
    <w:rsid w:val="434B44DC"/>
    <w:rsid w:val="43605DCC"/>
    <w:rsid w:val="43614CEE"/>
    <w:rsid w:val="4362104C"/>
    <w:rsid w:val="43621947"/>
    <w:rsid w:val="4363090C"/>
    <w:rsid w:val="43664819"/>
    <w:rsid w:val="436A2192"/>
    <w:rsid w:val="436B0C49"/>
    <w:rsid w:val="436C40C2"/>
    <w:rsid w:val="437D6585"/>
    <w:rsid w:val="438042AD"/>
    <w:rsid w:val="43837C39"/>
    <w:rsid w:val="43853F53"/>
    <w:rsid w:val="438B6310"/>
    <w:rsid w:val="439322F0"/>
    <w:rsid w:val="43933548"/>
    <w:rsid w:val="43964600"/>
    <w:rsid w:val="4397231A"/>
    <w:rsid w:val="439C3431"/>
    <w:rsid w:val="439D0E7C"/>
    <w:rsid w:val="43A26A83"/>
    <w:rsid w:val="43A41643"/>
    <w:rsid w:val="43B329A6"/>
    <w:rsid w:val="43C0281C"/>
    <w:rsid w:val="43C02B26"/>
    <w:rsid w:val="43C91C5B"/>
    <w:rsid w:val="43D10A40"/>
    <w:rsid w:val="43D67A91"/>
    <w:rsid w:val="43E21F58"/>
    <w:rsid w:val="43E35EF0"/>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A6C1F"/>
    <w:rsid w:val="444E22EA"/>
    <w:rsid w:val="44584267"/>
    <w:rsid w:val="44613B53"/>
    <w:rsid w:val="44705173"/>
    <w:rsid w:val="44740841"/>
    <w:rsid w:val="4476407C"/>
    <w:rsid w:val="447B4A66"/>
    <w:rsid w:val="447D4136"/>
    <w:rsid w:val="44825790"/>
    <w:rsid w:val="44861189"/>
    <w:rsid w:val="448B5845"/>
    <w:rsid w:val="448C73DD"/>
    <w:rsid w:val="448E0EB7"/>
    <w:rsid w:val="44903CE7"/>
    <w:rsid w:val="44907237"/>
    <w:rsid w:val="449510AA"/>
    <w:rsid w:val="4499566C"/>
    <w:rsid w:val="449D7968"/>
    <w:rsid w:val="44AA6690"/>
    <w:rsid w:val="44AC7B53"/>
    <w:rsid w:val="44AD2A20"/>
    <w:rsid w:val="44B1082D"/>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012B4"/>
    <w:rsid w:val="44D24A75"/>
    <w:rsid w:val="44D31B1E"/>
    <w:rsid w:val="44DE6732"/>
    <w:rsid w:val="44DF6F1B"/>
    <w:rsid w:val="44E54BDC"/>
    <w:rsid w:val="44E92DF3"/>
    <w:rsid w:val="44F82D0E"/>
    <w:rsid w:val="44FF7037"/>
    <w:rsid w:val="45004D64"/>
    <w:rsid w:val="450174D5"/>
    <w:rsid w:val="4508775D"/>
    <w:rsid w:val="451C5E9C"/>
    <w:rsid w:val="45214561"/>
    <w:rsid w:val="452C5F0A"/>
    <w:rsid w:val="453401C9"/>
    <w:rsid w:val="45347499"/>
    <w:rsid w:val="453579B0"/>
    <w:rsid w:val="45385EDA"/>
    <w:rsid w:val="453F48AB"/>
    <w:rsid w:val="454036A6"/>
    <w:rsid w:val="45446179"/>
    <w:rsid w:val="454D612E"/>
    <w:rsid w:val="454E0AAC"/>
    <w:rsid w:val="454E4F75"/>
    <w:rsid w:val="454E6B7A"/>
    <w:rsid w:val="4551463D"/>
    <w:rsid w:val="45520426"/>
    <w:rsid w:val="45522E35"/>
    <w:rsid w:val="45572AB5"/>
    <w:rsid w:val="455A7708"/>
    <w:rsid w:val="45697967"/>
    <w:rsid w:val="456C4CA4"/>
    <w:rsid w:val="457736FF"/>
    <w:rsid w:val="457751D0"/>
    <w:rsid w:val="45790DCE"/>
    <w:rsid w:val="457C3797"/>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96EDA"/>
    <w:rsid w:val="45AA0217"/>
    <w:rsid w:val="45B315CE"/>
    <w:rsid w:val="45B5611D"/>
    <w:rsid w:val="45B64B84"/>
    <w:rsid w:val="45BA6033"/>
    <w:rsid w:val="45C85EA2"/>
    <w:rsid w:val="45D9022E"/>
    <w:rsid w:val="45E3021B"/>
    <w:rsid w:val="45E37678"/>
    <w:rsid w:val="45E526A6"/>
    <w:rsid w:val="45E56E31"/>
    <w:rsid w:val="45E66893"/>
    <w:rsid w:val="45E826B2"/>
    <w:rsid w:val="45F4334C"/>
    <w:rsid w:val="46056B2C"/>
    <w:rsid w:val="460D3781"/>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501B"/>
    <w:rsid w:val="46AD7A54"/>
    <w:rsid w:val="46B04013"/>
    <w:rsid w:val="46B134DD"/>
    <w:rsid w:val="46B419BE"/>
    <w:rsid w:val="46B640D3"/>
    <w:rsid w:val="46B66C70"/>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4139C"/>
    <w:rsid w:val="47143F5A"/>
    <w:rsid w:val="471563E1"/>
    <w:rsid w:val="47167C67"/>
    <w:rsid w:val="47333B1B"/>
    <w:rsid w:val="47351654"/>
    <w:rsid w:val="473D0BD8"/>
    <w:rsid w:val="47457188"/>
    <w:rsid w:val="47502F2C"/>
    <w:rsid w:val="47561DDC"/>
    <w:rsid w:val="47592D4E"/>
    <w:rsid w:val="47644CFB"/>
    <w:rsid w:val="47666951"/>
    <w:rsid w:val="47683159"/>
    <w:rsid w:val="476A7D07"/>
    <w:rsid w:val="4777771E"/>
    <w:rsid w:val="478046DF"/>
    <w:rsid w:val="479766B4"/>
    <w:rsid w:val="479A2857"/>
    <w:rsid w:val="479A401E"/>
    <w:rsid w:val="479A472B"/>
    <w:rsid w:val="479D7800"/>
    <w:rsid w:val="47A240A4"/>
    <w:rsid w:val="47A60277"/>
    <w:rsid w:val="47A83BFD"/>
    <w:rsid w:val="47AA1593"/>
    <w:rsid w:val="47B44BED"/>
    <w:rsid w:val="47B77348"/>
    <w:rsid w:val="47BC3466"/>
    <w:rsid w:val="47BF5FB3"/>
    <w:rsid w:val="47C24BB0"/>
    <w:rsid w:val="47D730B6"/>
    <w:rsid w:val="47DD6490"/>
    <w:rsid w:val="47DD6A91"/>
    <w:rsid w:val="47E62C82"/>
    <w:rsid w:val="47E9396D"/>
    <w:rsid w:val="47EB0853"/>
    <w:rsid w:val="47EB5BFA"/>
    <w:rsid w:val="47F46D42"/>
    <w:rsid w:val="47FA20F9"/>
    <w:rsid w:val="47FF3A74"/>
    <w:rsid w:val="48041F1C"/>
    <w:rsid w:val="480B1862"/>
    <w:rsid w:val="480B749D"/>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5F5D85"/>
    <w:rsid w:val="4864535D"/>
    <w:rsid w:val="48664A02"/>
    <w:rsid w:val="487141DB"/>
    <w:rsid w:val="48740F16"/>
    <w:rsid w:val="48747A97"/>
    <w:rsid w:val="487572A2"/>
    <w:rsid w:val="487A2A25"/>
    <w:rsid w:val="487C0397"/>
    <w:rsid w:val="48850976"/>
    <w:rsid w:val="488C5FA3"/>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BB007E"/>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870F5"/>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140BE"/>
    <w:rsid w:val="49927DFC"/>
    <w:rsid w:val="499322C4"/>
    <w:rsid w:val="4995326A"/>
    <w:rsid w:val="4995554E"/>
    <w:rsid w:val="499B3646"/>
    <w:rsid w:val="499C3504"/>
    <w:rsid w:val="499C3A4F"/>
    <w:rsid w:val="499E20E3"/>
    <w:rsid w:val="49A43EE6"/>
    <w:rsid w:val="49AB3DB8"/>
    <w:rsid w:val="49B4201A"/>
    <w:rsid w:val="49BA6924"/>
    <w:rsid w:val="49C031BE"/>
    <w:rsid w:val="49C20C6C"/>
    <w:rsid w:val="49CE0C89"/>
    <w:rsid w:val="49D93C20"/>
    <w:rsid w:val="49DA3FD3"/>
    <w:rsid w:val="49DA7AB7"/>
    <w:rsid w:val="49E028D9"/>
    <w:rsid w:val="49E353F8"/>
    <w:rsid w:val="49E46DD1"/>
    <w:rsid w:val="49E95933"/>
    <w:rsid w:val="49EF7DBB"/>
    <w:rsid w:val="49F7729C"/>
    <w:rsid w:val="49FA57FE"/>
    <w:rsid w:val="4A0238A8"/>
    <w:rsid w:val="4A0573EC"/>
    <w:rsid w:val="4A06116C"/>
    <w:rsid w:val="4A070E8E"/>
    <w:rsid w:val="4A09499E"/>
    <w:rsid w:val="4A0A0505"/>
    <w:rsid w:val="4A14785B"/>
    <w:rsid w:val="4A175A09"/>
    <w:rsid w:val="4A19214F"/>
    <w:rsid w:val="4A1F7925"/>
    <w:rsid w:val="4A2322DF"/>
    <w:rsid w:val="4A2E7749"/>
    <w:rsid w:val="4A31144E"/>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30E59"/>
    <w:rsid w:val="4A840EFE"/>
    <w:rsid w:val="4A850C8F"/>
    <w:rsid w:val="4A8953AB"/>
    <w:rsid w:val="4A8B5CEB"/>
    <w:rsid w:val="4A95521B"/>
    <w:rsid w:val="4A970AB1"/>
    <w:rsid w:val="4A984236"/>
    <w:rsid w:val="4A9C6332"/>
    <w:rsid w:val="4AA4318E"/>
    <w:rsid w:val="4AA456B8"/>
    <w:rsid w:val="4AA75186"/>
    <w:rsid w:val="4AAF1B3A"/>
    <w:rsid w:val="4AB01D3D"/>
    <w:rsid w:val="4AB113DF"/>
    <w:rsid w:val="4AB60988"/>
    <w:rsid w:val="4AB75FB2"/>
    <w:rsid w:val="4ABB3CDE"/>
    <w:rsid w:val="4ABE12AD"/>
    <w:rsid w:val="4AC36436"/>
    <w:rsid w:val="4AC41CC1"/>
    <w:rsid w:val="4AC4256B"/>
    <w:rsid w:val="4AC66331"/>
    <w:rsid w:val="4AC860DD"/>
    <w:rsid w:val="4AD162A8"/>
    <w:rsid w:val="4AD25C89"/>
    <w:rsid w:val="4AD768C6"/>
    <w:rsid w:val="4AD82D04"/>
    <w:rsid w:val="4ADE0BED"/>
    <w:rsid w:val="4AE0796F"/>
    <w:rsid w:val="4AE30444"/>
    <w:rsid w:val="4AE31B85"/>
    <w:rsid w:val="4AEF0F11"/>
    <w:rsid w:val="4AF902F5"/>
    <w:rsid w:val="4AF94D42"/>
    <w:rsid w:val="4B0107DC"/>
    <w:rsid w:val="4B020D4E"/>
    <w:rsid w:val="4B021266"/>
    <w:rsid w:val="4B081F1A"/>
    <w:rsid w:val="4B0A119A"/>
    <w:rsid w:val="4B0D6C0E"/>
    <w:rsid w:val="4B183767"/>
    <w:rsid w:val="4B1B298D"/>
    <w:rsid w:val="4B1C66E8"/>
    <w:rsid w:val="4B205D7D"/>
    <w:rsid w:val="4B28587C"/>
    <w:rsid w:val="4B292683"/>
    <w:rsid w:val="4B294C7C"/>
    <w:rsid w:val="4B304EAD"/>
    <w:rsid w:val="4B376E2E"/>
    <w:rsid w:val="4B385AE2"/>
    <w:rsid w:val="4B387AC6"/>
    <w:rsid w:val="4B3D5656"/>
    <w:rsid w:val="4B3F4861"/>
    <w:rsid w:val="4B452D17"/>
    <w:rsid w:val="4B475D91"/>
    <w:rsid w:val="4B4C459F"/>
    <w:rsid w:val="4B5005ED"/>
    <w:rsid w:val="4B50566A"/>
    <w:rsid w:val="4B53122B"/>
    <w:rsid w:val="4B5456EE"/>
    <w:rsid w:val="4B571002"/>
    <w:rsid w:val="4B5863B7"/>
    <w:rsid w:val="4B5912E9"/>
    <w:rsid w:val="4B5D1DDE"/>
    <w:rsid w:val="4B632C97"/>
    <w:rsid w:val="4B683C6A"/>
    <w:rsid w:val="4B6B2DB9"/>
    <w:rsid w:val="4B705844"/>
    <w:rsid w:val="4B7224D0"/>
    <w:rsid w:val="4B731C20"/>
    <w:rsid w:val="4B774607"/>
    <w:rsid w:val="4B7A3C96"/>
    <w:rsid w:val="4B7D4F5D"/>
    <w:rsid w:val="4B82716C"/>
    <w:rsid w:val="4B857EC6"/>
    <w:rsid w:val="4B8829C1"/>
    <w:rsid w:val="4B8A2918"/>
    <w:rsid w:val="4B901807"/>
    <w:rsid w:val="4B9B25E4"/>
    <w:rsid w:val="4B9E314D"/>
    <w:rsid w:val="4BAD4CA2"/>
    <w:rsid w:val="4BB42604"/>
    <w:rsid w:val="4BB46644"/>
    <w:rsid w:val="4BB548C0"/>
    <w:rsid w:val="4BB5799E"/>
    <w:rsid w:val="4BC456EF"/>
    <w:rsid w:val="4BC647B0"/>
    <w:rsid w:val="4BCB1BAE"/>
    <w:rsid w:val="4BD94F2A"/>
    <w:rsid w:val="4BDF4B49"/>
    <w:rsid w:val="4BE57E16"/>
    <w:rsid w:val="4BE819D0"/>
    <w:rsid w:val="4BE8649D"/>
    <w:rsid w:val="4BFC6FFD"/>
    <w:rsid w:val="4C001A94"/>
    <w:rsid w:val="4C0107B1"/>
    <w:rsid w:val="4C0236B4"/>
    <w:rsid w:val="4C0B6604"/>
    <w:rsid w:val="4C0C091F"/>
    <w:rsid w:val="4C0E6780"/>
    <w:rsid w:val="4C1321BA"/>
    <w:rsid w:val="4C145CE0"/>
    <w:rsid w:val="4C155A41"/>
    <w:rsid w:val="4C16297D"/>
    <w:rsid w:val="4C170C9D"/>
    <w:rsid w:val="4C186D56"/>
    <w:rsid w:val="4C192F75"/>
    <w:rsid w:val="4C1C0BD6"/>
    <w:rsid w:val="4C1E085C"/>
    <w:rsid w:val="4C1E7AAC"/>
    <w:rsid w:val="4C20259F"/>
    <w:rsid w:val="4C2840CB"/>
    <w:rsid w:val="4C312ECF"/>
    <w:rsid w:val="4C422CA7"/>
    <w:rsid w:val="4C427C5C"/>
    <w:rsid w:val="4C5035A1"/>
    <w:rsid w:val="4C5E445B"/>
    <w:rsid w:val="4C5F0B5D"/>
    <w:rsid w:val="4C606F33"/>
    <w:rsid w:val="4C6426ED"/>
    <w:rsid w:val="4C64471A"/>
    <w:rsid w:val="4C6C2FE2"/>
    <w:rsid w:val="4C6D5BD4"/>
    <w:rsid w:val="4C6F6529"/>
    <w:rsid w:val="4C774BF8"/>
    <w:rsid w:val="4C77619E"/>
    <w:rsid w:val="4C860543"/>
    <w:rsid w:val="4C8740CC"/>
    <w:rsid w:val="4C8E48D8"/>
    <w:rsid w:val="4C9538F4"/>
    <w:rsid w:val="4C974009"/>
    <w:rsid w:val="4C987412"/>
    <w:rsid w:val="4C9D4CBE"/>
    <w:rsid w:val="4CA52752"/>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557A"/>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2630C"/>
    <w:rsid w:val="4D063B0D"/>
    <w:rsid w:val="4D0F1680"/>
    <w:rsid w:val="4D0F52FA"/>
    <w:rsid w:val="4D1D6CA0"/>
    <w:rsid w:val="4D2609C6"/>
    <w:rsid w:val="4D2A2C09"/>
    <w:rsid w:val="4D2B2E28"/>
    <w:rsid w:val="4D2D4B6D"/>
    <w:rsid w:val="4D2F5C2A"/>
    <w:rsid w:val="4D33448A"/>
    <w:rsid w:val="4D3E3476"/>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922BF5"/>
    <w:rsid w:val="4D9B5A29"/>
    <w:rsid w:val="4DA53BC8"/>
    <w:rsid w:val="4DA72415"/>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87463"/>
    <w:rsid w:val="4E5A3449"/>
    <w:rsid w:val="4E5A5499"/>
    <w:rsid w:val="4E5C4A2F"/>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81348"/>
    <w:rsid w:val="4EA9172F"/>
    <w:rsid w:val="4EAC241A"/>
    <w:rsid w:val="4EB67945"/>
    <w:rsid w:val="4EBC0B24"/>
    <w:rsid w:val="4EC420B9"/>
    <w:rsid w:val="4EC91E2C"/>
    <w:rsid w:val="4ECA2CB3"/>
    <w:rsid w:val="4ECA55D0"/>
    <w:rsid w:val="4ECD7B05"/>
    <w:rsid w:val="4ED32EBD"/>
    <w:rsid w:val="4EE17B77"/>
    <w:rsid w:val="4EE44103"/>
    <w:rsid w:val="4EE61722"/>
    <w:rsid w:val="4EE86D63"/>
    <w:rsid w:val="4EEC3838"/>
    <w:rsid w:val="4EEE11A3"/>
    <w:rsid w:val="4EF07E6E"/>
    <w:rsid w:val="4EFA2D21"/>
    <w:rsid w:val="4EFA68DB"/>
    <w:rsid w:val="4EFE4EC2"/>
    <w:rsid w:val="4EFF3444"/>
    <w:rsid w:val="4F037BFA"/>
    <w:rsid w:val="4F0441E5"/>
    <w:rsid w:val="4F0736E2"/>
    <w:rsid w:val="4F0F1D99"/>
    <w:rsid w:val="4F155F27"/>
    <w:rsid w:val="4F16131E"/>
    <w:rsid w:val="4F181305"/>
    <w:rsid w:val="4F1A238F"/>
    <w:rsid w:val="4F1D1400"/>
    <w:rsid w:val="4F1D1653"/>
    <w:rsid w:val="4F25535C"/>
    <w:rsid w:val="4F2C365D"/>
    <w:rsid w:val="4F36758C"/>
    <w:rsid w:val="4F376D93"/>
    <w:rsid w:val="4F3957DF"/>
    <w:rsid w:val="4F3D4163"/>
    <w:rsid w:val="4F4415F3"/>
    <w:rsid w:val="4F50208E"/>
    <w:rsid w:val="4F560A53"/>
    <w:rsid w:val="4F611147"/>
    <w:rsid w:val="4F6E6F86"/>
    <w:rsid w:val="4F7278C6"/>
    <w:rsid w:val="4F764CC2"/>
    <w:rsid w:val="4F823D55"/>
    <w:rsid w:val="4F85034E"/>
    <w:rsid w:val="4F9000F4"/>
    <w:rsid w:val="4F942C16"/>
    <w:rsid w:val="4F983E33"/>
    <w:rsid w:val="4F9B5328"/>
    <w:rsid w:val="4FAB2D3A"/>
    <w:rsid w:val="4FAB3627"/>
    <w:rsid w:val="4FAB7893"/>
    <w:rsid w:val="4FAC38F8"/>
    <w:rsid w:val="4FB204D9"/>
    <w:rsid w:val="4FB40C2C"/>
    <w:rsid w:val="4FBA52BE"/>
    <w:rsid w:val="4FBA74EE"/>
    <w:rsid w:val="4FBB5569"/>
    <w:rsid w:val="4FBF1E32"/>
    <w:rsid w:val="4FC803AA"/>
    <w:rsid w:val="4FCB45DF"/>
    <w:rsid w:val="4FCF2495"/>
    <w:rsid w:val="4FD365FC"/>
    <w:rsid w:val="4FD62D61"/>
    <w:rsid w:val="4FDC6418"/>
    <w:rsid w:val="4FDC68BF"/>
    <w:rsid w:val="4FDE0BFE"/>
    <w:rsid w:val="4FE13662"/>
    <w:rsid w:val="4FE15781"/>
    <w:rsid w:val="4FE3603D"/>
    <w:rsid w:val="4FE36D74"/>
    <w:rsid w:val="4FE9598E"/>
    <w:rsid w:val="4FE95A21"/>
    <w:rsid w:val="4FF5506D"/>
    <w:rsid w:val="4FF9569C"/>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47D28"/>
    <w:rsid w:val="50363B3A"/>
    <w:rsid w:val="503B25E4"/>
    <w:rsid w:val="503D2073"/>
    <w:rsid w:val="503D5373"/>
    <w:rsid w:val="503E4F3A"/>
    <w:rsid w:val="504261AC"/>
    <w:rsid w:val="504311C0"/>
    <w:rsid w:val="50435189"/>
    <w:rsid w:val="50461396"/>
    <w:rsid w:val="504B1149"/>
    <w:rsid w:val="504B5456"/>
    <w:rsid w:val="5052029B"/>
    <w:rsid w:val="505F1426"/>
    <w:rsid w:val="506309DB"/>
    <w:rsid w:val="506A05E9"/>
    <w:rsid w:val="50752AF6"/>
    <w:rsid w:val="50771C00"/>
    <w:rsid w:val="508A668E"/>
    <w:rsid w:val="509A3231"/>
    <w:rsid w:val="509C736A"/>
    <w:rsid w:val="50A27585"/>
    <w:rsid w:val="50A43E2D"/>
    <w:rsid w:val="50AC0B91"/>
    <w:rsid w:val="50AF1C59"/>
    <w:rsid w:val="50B139BD"/>
    <w:rsid w:val="50B92297"/>
    <w:rsid w:val="50BD1498"/>
    <w:rsid w:val="50BD624C"/>
    <w:rsid w:val="50BE1B1D"/>
    <w:rsid w:val="50BE494F"/>
    <w:rsid w:val="50C2785E"/>
    <w:rsid w:val="50C371C0"/>
    <w:rsid w:val="50C51F05"/>
    <w:rsid w:val="50C65C4E"/>
    <w:rsid w:val="50C65E30"/>
    <w:rsid w:val="50C75F36"/>
    <w:rsid w:val="50CC5D21"/>
    <w:rsid w:val="50CE34E1"/>
    <w:rsid w:val="50D228CF"/>
    <w:rsid w:val="50D23F25"/>
    <w:rsid w:val="50E63519"/>
    <w:rsid w:val="50ED76FB"/>
    <w:rsid w:val="50F568D9"/>
    <w:rsid w:val="50FD2A03"/>
    <w:rsid w:val="510D4A1E"/>
    <w:rsid w:val="5118204E"/>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151A5"/>
    <w:rsid w:val="5179450A"/>
    <w:rsid w:val="51797588"/>
    <w:rsid w:val="517C0CA0"/>
    <w:rsid w:val="517D17DB"/>
    <w:rsid w:val="517F00BC"/>
    <w:rsid w:val="51861BC2"/>
    <w:rsid w:val="5188076F"/>
    <w:rsid w:val="518E0D7A"/>
    <w:rsid w:val="5195533B"/>
    <w:rsid w:val="519645E3"/>
    <w:rsid w:val="5199124A"/>
    <w:rsid w:val="519C08F1"/>
    <w:rsid w:val="519D2F03"/>
    <w:rsid w:val="51AA27FB"/>
    <w:rsid w:val="51AB0562"/>
    <w:rsid w:val="51AD6F40"/>
    <w:rsid w:val="51AE5103"/>
    <w:rsid w:val="51BE2EAE"/>
    <w:rsid w:val="51C0716E"/>
    <w:rsid w:val="51C24631"/>
    <w:rsid w:val="51D42177"/>
    <w:rsid w:val="51D43598"/>
    <w:rsid w:val="51DA51E8"/>
    <w:rsid w:val="51DA5890"/>
    <w:rsid w:val="51E31C77"/>
    <w:rsid w:val="51E90CD5"/>
    <w:rsid w:val="51EE7B3E"/>
    <w:rsid w:val="51F51BD1"/>
    <w:rsid w:val="51F96848"/>
    <w:rsid w:val="51FB40B5"/>
    <w:rsid w:val="51FB47AC"/>
    <w:rsid w:val="52063C95"/>
    <w:rsid w:val="52073487"/>
    <w:rsid w:val="520A7B89"/>
    <w:rsid w:val="520E648E"/>
    <w:rsid w:val="521B775A"/>
    <w:rsid w:val="521C5D43"/>
    <w:rsid w:val="521D7ED7"/>
    <w:rsid w:val="52216835"/>
    <w:rsid w:val="52257DA4"/>
    <w:rsid w:val="52325EE7"/>
    <w:rsid w:val="5239194F"/>
    <w:rsid w:val="523A5B1F"/>
    <w:rsid w:val="524D342E"/>
    <w:rsid w:val="524E54BD"/>
    <w:rsid w:val="524E5F2B"/>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BC0926"/>
    <w:rsid w:val="52CA3D8F"/>
    <w:rsid w:val="52CD21D8"/>
    <w:rsid w:val="52CF0A4A"/>
    <w:rsid w:val="52D17A8E"/>
    <w:rsid w:val="52DA2383"/>
    <w:rsid w:val="52DC66BA"/>
    <w:rsid w:val="52DC7C0E"/>
    <w:rsid w:val="52DD5B35"/>
    <w:rsid w:val="52DE6D3F"/>
    <w:rsid w:val="52DF42EC"/>
    <w:rsid w:val="52E42485"/>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E0346"/>
    <w:rsid w:val="533F465D"/>
    <w:rsid w:val="534246C3"/>
    <w:rsid w:val="53477D18"/>
    <w:rsid w:val="53495ACD"/>
    <w:rsid w:val="534A5181"/>
    <w:rsid w:val="534D1493"/>
    <w:rsid w:val="534E11CE"/>
    <w:rsid w:val="535337EC"/>
    <w:rsid w:val="53556970"/>
    <w:rsid w:val="535E141D"/>
    <w:rsid w:val="535F500E"/>
    <w:rsid w:val="536240B0"/>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4640B"/>
    <w:rsid w:val="53C817A7"/>
    <w:rsid w:val="53C877C6"/>
    <w:rsid w:val="53D153F9"/>
    <w:rsid w:val="53DB35A3"/>
    <w:rsid w:val="53DC2808"/>
    <w:rsid w:val="53DD2CA6"/>
    <w:rsid w:val="53DE4BEA"/>
    <w:rsid w:val="53DF54A9"/>
    <w:rsid w:val="53E07B00"/>
    <w:rsid w:val="53E27BE1"/>
    <w:rsid w:val="53EC3D29"/>
    <w:rsid w:val="53EE37DC"/>
    <w:rsid w:val="53F53801"/>
    <w:rsid w:val="53F90D34"/>
    <w:rsid w:val="53FA05A6"/>
    <w:rsid w:val="54002BFD"/>
    <w:rsid w:val="54066342"/>
    <w:rsid w:val="54074400"/>
    <w:rsid w:val="54096B9B"/>
    <w:rsid w:val="540A0F22"/>
    <w:rsid w:val="541942B6"/>
    <w:rsid w:val="541A3E14"/>
    <w:rsid w:val="541A40BD"/>
    <w:rsid w:val="541F38E3"/>
    <w:rsid w:val="542A1803"/>
    <w:rsid w:val="542A3FEF"/>
    <w:rsid w:val="542A5504"/>
    <w:rsid w:val="542F7A60"/>
    <w:rsid w:val="54346136"/>
    <w:rsid w:val="5438183D"/>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07E3F"/>
    <w:rsid w:val="54A14490"/>
    <w:rsid w:val="54A153FA"/>
    <w:rsid w:val="54A343F4"/>
    <w:rsid w:val="54A36C2B"/>
    <w:rsid w:val="54AB29C5"/>
    <w:rsid w:val="54AB36A1"/>
    <w:rsid w:val="54B171C4"/>
    <w:rsid w:val="54B61DA8"/>
    <w:rsid w:val="54B62C99"/>
    <w:rsid w:val="54BC1CEB"/>
    <w:rsid w:val="54CA0FB5"/>
    <w:rsid w:val="54CC175C"/>
    <w:rsid w:val="54CC47C4"/>
    <w:rsid w:val="54CD258C"/>
    <w:rsid w:val="54CE1B9D"/>
    <w:rsid w:val="54D96084"/>
    <w:rsid w:val="54DF688B"/>
    <w:rsid w:val="54E85E2E"/>
    <w:rsid w:val="54E95643"/>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8E065B"/>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EC2EF8"/>
    <w:rsid w:val="55F37542"/>
    <w:rsid w:val="55FE6BCF"/>
    <w:rsid w:val="56017EDE"/>
    <w:rsid w:val="56027E43"/>
    <w:rsid w:val="56030BD3"/>
    <w:rsid w:val="560469FC"/>
    <w:rsid w:val="5609174E"/>
    <w:rsid w:val="561036D3"/>
    <w:rsid w:val="561B57AD"/>
    <w:rsid w:val="5621112A"/>
    <w:rsid w:val="56214A7B"/>
    <w:rsid w:val="562E1F90"/>
    <w:rsid w:val="56343C80"/>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D0940"/>
    <w:rsid w:val="56902B88"/>
    <w:rsid w:val="56927DA4"/>
    <w:rsid w:val="56A032E3"/>
    <w:rsid w:val="56A04928"/>
    <w:rsid w:val="56A418DC"/>
    <w:rsid w:val="56A50EBB"/>
    <w:rsid w:val="56A83AE3"/>
    <w:rsid w:val="56AB6535"/>
    <w:rsid w:val="56AD02E2"/>
    <w:rsid w:val="56AD339E"/>
    <w:rsid w:val="56AE2AEE"/>
    <w:rsid w:val="56AF43C9"/>
    <w:rsid w:val="56B0619F"/>
    <w:rsid w:val="56B16CBD"/>
    <w:rsid w:val="56B3450E"/>
    <w:rsid w:val="56B96F66"/>
    <w:rsid w:val="56BE75C0"/>
    <w:rsid w:val="56C12AE4"/>
    <w:rsid w:val="56C71CAD"/>
    <w:rsid w:val="56CB6227"/>
    <w:rsid w:val="56CD63CA"/>
    <w:rsid w:val="56CE5F20"/>
    <w:rsid w:val="56D1338D"/>
    <w:rsid w:val="56D31AC8"/>
    <w:rsid w:val="56D6003D"/>
    <w:rsid w:val="56DA3EBA"/>
    <w:rsid w:val="56DC20EA"/>
    <w:rsid w:val="56DE40C5"/>
    <w:rsid w:val="56E0048C"/>
    <w:rsid w:val="56E33383"/>
    <w:rsid w:val="56E81DBE"/>
    <w:rsid w:val="56EA65D6"/>
    <w:rsid w:val="56ED5E03"/>
    <w:rsid w:val="56F456C1"/>
    <w:rsid w:val="56F53208"/>
    <w:rsid w:val="56FB0134"/>
    <w:rsid w:val="56FC2728"/>
    <w:rsid w:val="57012351"/>
    <w:rsid w:val="57095761"/>
    <w:rsid w:val="571777C3"/>
    <w:rsid w:val="571B1F7E"/>
    <w:rsid w:val="571D34AC"/>
    <w:rsid w:val="571F270E"/>
    <w:rsid w:val="57284B98"/>
    <w:rsid w:val="57292292"/>
    <w:rsid w:val="572E4793"/>
    <w:rsid w:val="572E7E52"/>
    <w:rsid w:val="57315E6B"/>
    <w:rsid w:val="573403E6"/>
    <w:rsid w:val="573459F0"/>
    <w:rsid w:val="573B3910"/>
    <w:rsid w:val="574460A0"/>
    <w:rsid w:val="57484376"/>
    <w:rsid w:val="5748483A"/>
    <w:rsid w:val="574B4B12"/>
    <w:rsid w:val="574C616E"/>
    <w:rsid w:val="574F71ED"/>
    <w:rsid w:val="575425F9"/>
    <w:rsid w:val="575430BB"/>
    <w:rsid w:val="575A2017"/>
    <w:rsid w:val="575C5FBB"/>
    <w:rsid w:val="57685F5D"/>
    <w:rsid w:val="57692A18"/>
    <w:rsid w:val="576D6DDF"/>
    <w:rsid w:val="57702374"/>
    <w:rsid w:val="5774694B"/>
    <w:rsid w:val="57780ED4"/>
    <w:rsid w:val="577E3A90"/>
    <w:rsid w:val="57886A0D"/>
    <w:rsid w:val="57896321"/>
    <w:rsid w:val="578B78A1"/>
    <w:rsid w:val="57903D73"/>
    <w:rsid w:val="57955219"/>
    <w:rsid w:val="579A7C07"/>
    <w:rsid w:val="579F309F"/>
    <w:rsid w:val="57A46FEE"/>
    <w:rsid w:val="57AA5A5F"/>
    <w:rsid w:val="57AD3CAB"/>
    <w:rsid w:val="57AF7168"/>
    <w:rsid w:val="57B02763"/>
    <w:rsid w:val="57B6547E"/>
    <w:rsid w:val="57BC7C9C"/>
    <w:rsid w:val="57BE4E98"/>
    <w:rsid w:val="57BF5603"/>
    <w:rsid w:val="57BF6387"/>
    <w:rsid w:val="57C77A65"/>
    <w:rsid w:val="57D01AAC"/>
    <w:rsid w:val="57D05855"/>
    <w:rsid w:val="57D1117F"/>
    <w:rsid w:val="57DA0D38"/>
    <w:rsid w:val="57DD4E33"/>
    <w:rsid w:val="57DE0A52"/>
    <w:rsid w:val="57DE3AFC"/>
    <w:rsid w:val="57DF6500"/>
    <w:rsid w:val="57E143B6"/>
    <w:rsid w:val="57E60B9B"/>
    <w:rsid w:val="57E73B61"/>
    <w:rsid w:val="57E87670"/>
    <w:rsid w:val="57ED134E"/>
    <w:rsid w:val="57F01737"/>
    <w:rsid w:val="57F316B2"/>
    <w:rsid w:val="57F73696"/>
    <w:rsid w:val="57FA3FC4"/>
    <w:rsid w:val="57FA5D13"/>
    <w:rsid w:val="58005923"/>
    <w:rsid w:val="5803475B"/>
    <w:rsid w:val="580A6FBE"/>
    <w:rsid w:val="580F0825"/>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D555E"/>
    <w:rsid w:val="588D6F55"/>
    <w:rsid w:val="58937684"/>
    <w:rsid w:val="58953B9F"/>
    <w:rsid w:val="58957A8C"/>
    <w:rsid w:val="589968A1"/>
    <w:rsid w:val="589C0BA1"/>
    <w:rsid w:val="589F18E4"/>
    <w:rsid w:val="58A26665"/>
    <w:rsid w:val="58A948C8"/>
    <w:rsid w:val="58B156C4"/>
    <w:rsid w:val="58B47394"/>
    <w:rsid w:val="58B80220"/>
    <w:rsid w:val="58B8443B"/>
    <w:rsid w:val="58B92428"/>
    <w:rsid w:val="58BC4002"/>
    <w:rsid w:val="58C47A68"/>
    <w:rsid w:val="58C6178A"/>
    <w:rsid w:val="58C77385"/>
    <w:rsid w:val="58CF1828"/>
    <w:rsid w:val="58D720A4"/>
    <w:rsid w:val="58DB456A"/>
    <w:rsid w:val="58E2288E"/>
    <w:rsid w:val="58E56245"/>
    <w:rsid w:val="58E909DD"/>
    <w:rsid w:val="58EB1C90"/>
    <w:rsid w:val="58EE536D"/>
    <w:rsid w:val="58F5061C"/>
    <w:rsid w:val="58F57D12"/>
    <w:rsid w:val="59094784"/>
    <w:rsid w:val="59255E05"/>
    <w:rsid w:val="59267EF0"/>
    <w:rsid w:val="59287A6A"/>
    <w:rsid w:val="592C2EB2"/>
    <w:rsid w:val="59376E4C"/>
    <w:rsid w:val="59421F7E"/>
    <w:rsid w:val="59424509"/>
    <w:rsid w:val="594935F2"/>
    <w:rsid w:val="594C2750"/>
    <w:rsid w:val="59511A55"/>
    <w:rsid w:val="59595860"/>
    <w:rsid w:val="595C0946"/>
    <w:rsid w:val="59604A5E"/>
    <w:rsid w:val="59642A7A"/>
    <w:rsid w:val="59655357"/>
    <w:rsid w:val="596957AE"/>
    <w:rsid w:val="596D32B4"/>
    <w:rsid w:val="596F0E39"/>
    <w:rsid w:val="596F5485"/>
    <w:rsid w:val="5974082A"/>
    <w:rsid w:val="59774D3E"/>
    <w:rsid w:val="597C00C4"/>
    <w:rsid w:val="598635D7"/>
    <w:rsid w:val="599148CE"/>
    <w:rsid w:val="59946630"/>
    <w:rsid w:val="599A1291"/>
    <w:rsid w:val="599E418E"/>
    <w:rsid w:val="599F75D4"/>
    <w:rsid w:val="59A22883"/>
    <w:rsid w:val="59A24ED6"/>
    <w:rsid w:val="59AC1815"/>
    <w:rsid w:val="59AE5EC5"/>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E01D71"/>
    <w:rsid w:val="59E11C9B"/>
    <w:rsid w:val="59E143BA"/>
    <w:rsid w:val="59E2737B"/>
    <w:rsid w:val="59EB0D06"/>
    <w:rsid w:val="59F32024"/>
    <w:rsid w:val="59F44D39"/>
    <w:rsid w:val="59F511B7"/>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B7C88"/>
    <w:rsid w:val="5A6F5AD1"/>
    <w:rsid w:val="5A73612A"/>
    <w:rsid w:val="5A784E1A"/>
    <w:rsid w:val="5A7C1DA4"/>
    <w:rsid w:val="5A7F6F98"/>
    <w:rsid w:val="5A8F76C1"/>
    <w:rsid w:val="5A921A04"/>
    <w:rsid w:val="5A99558C"/>
    <w:rsid w:val="5A9A0A66"/>
    <w:rsid w:val="5A9C05B9"/>
    <w:rsid w:val="5AA541CF"/>
    <w:rsid w:val="5AAF48E4"/>
    <w:rsid w:val="5AB37B5F"/>
    <w:rsid w:val="5AB96041"/>
    <w:rsid w:val="5ABC4831"/>
    <w:rsid w:val="5ABC6BFA"/>
    <w:rsid w:val="5ABF01E8"/>
    <w:rsid w:val="5ABF7466"/>
    <w:rsid w:val="5AC05747"/>
    <w:rsid w:val="5AC366EB"/>
    <w:rsid w:val="5AC43AE0"/>
    <w:rsid w:val="5AC4427C"/>
    <w:rsid w:val="5AC75010"/>
    <w:rsid w:val="5AC76ACB"/>
    <w:rsid w:val="5AD054B7"/>
    <w:rsid w:val="5AD149C0"/>
    <w:rsid w:val="5AD20D04"/>
    <w:rsid w:val="5AD510F0"/>
    <w:rsid w:val="5AD822B6"/>
    <w:rsid w:val="5AD86DAA"/>
    <w:rsid w:val="5AF341EB"/>
    <w:rsid w:val="5AF405C5"/>
    <w:rsid w:val="5AF82FCA"/>
    <w:rsid w:val="5AF8657A"/>
    <w:rsid w:val="5AFA42E0"/>
    <w:rsid w:val="5AFE1E47"/>
    <w:rsid w:val="5AFE5C3F"/>
    <w:rsid w:val="5AFF4835"/>
    <w:rsid w:val="5B000850"/>
    <w:rsid w:val="5B0C6EB5"/>
    <w:rsid w:val="5B152C30"/>
    <w:rsid w:val="5B187495"/>
    <w:rsid w:val="5B1945A0"/>
    <w:rsid w:val="5B1A2A0F"/>
    <w:rsid w:val="5B1B10FA"/>
    <w:rsid w:val="5B1B5003"/>
    <w:rsid w:val="5B221ED4"/>
    <w:rsid w:val="5B225A79"/>
    <w:rsid w:val="5B2445B5"/>
    <w:rsid w:val="5B2559CC"/>
    <w:rsid w:val="5B2A41C4"/>
    <w:rsid w:val="5B2B5E52"/>
    <w:rsid w:val="5B2C6721"/>
    <w:rsid w:val="5B3E0A56"/>
    <w:rsid w:val="5B431363"/>
    <w:rsid w:val="5B492D29"/>
    <w:rsid w:val="5B494C21"/>
    <w:rsid w:val="5B4C3725"/>
    <w:rsid w:val="5B532679"/>
    <w:rsid w:val="5B570BDE"/>
    <w:rsid w:val="5B59179A"/>
    <w:rsid w:val="5B5B64C5"/>
    <w:rsid w:val="5B5F2FE4"/>
    <w:rsid w:val="5B6207A7"/>
    <w:rsid w:val="5B627DC7"/>
    <w:rsid w:val="5B63287C"/>
    <w:rsid w:val="5B6C5737"/>
    <w:rsid w:val="5B7178CA"/>
    <w:rsid w:val="5B763263"/>
    <w:rsid w:val="5B766C60"/>
    <w:rsid w:val="5B853B9F"/>
    <w:rsid w:val="5B896F76"/>
    <w:rsid w:val="5B8F287C"/>
    <w:rsid w:val="5B901200"/>
    <w:rsid w:val="5B9319B5"/>
    <w:rsid w:val="5B96407F"/>
    <w:rsid w:val="5B975E5B"/>
    <w:rsid w:val="5B9C0984"/>
    <w:rsid w:val="5B9D5FB0"/>
    <w:rsid w:val="5B9F377A"/>
    <w:rsid w:val="5BA65080"/>
    <w:rsid w:val="5BA76A78"/>
    <w:rsid w:val="5BA77EDE"/>
    <w:rsid w:val="5BAE7791"/>
    <w:rsid w:val="5BB214B7"/>
    <w:rsid w:val="5BB424C4"/>
    <w:rsid w:val="5BB576AD"/>
    <w:rsid w:val="5BB6242D"/>
    <w:rsid w:val="5BB65985"/>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474C2E"/>
    <w:rsid w:val="5C494C6D"/>
    <w:rsid w:val="5C500AF8"/>
    <w:rsid w:val="5C517866"/>
    <w:rsid w:val="5C523483"/>
    <w:rsid w:val="5C5348B4"/>
    <w:rsid w:val="5C5E033F"/>
    <w:rsid w:val="5C6875EE"/>
    <w:rsid w:val="5C6B21CA"/>
    <w:rsid w:val="5C6F12DC"/>
    <w:rsid w:val="5C7A2919"/>
    <w:rsid w:val="5C82695D"/>
    <w:rsid w:val="5C84202F"/>
    <w:rsid w:val="5C8F19C2"/>
    <w:rsid w:val="5C9A6016"/>
    <w:rsid w:val="5CA57043"/>
    <w:rsid w:val="5CB157B0"/>
    <w:rsid w:val="5CBF4297"/>
    <w:rsid w:val="5CC43404"/>
    <w:rsid w:val="5CC93DAE"/>
    <w:rsid w:val="5CCF7073"/>
    <w:rsid w:val="5CD31EE3"/>
    <w:rsid w:val="5CE03F3E"/>
    <w:rsid w:val="5CE1654F"/>
    <w:rsid w:val="5CE47CF9"/>
    <w:rsid w:val="5CEB1D70"/>
    <w:rsid w:val="5CF45558"/>
    <w:rsid w:val="5CF70E19"/>
    <w:rsid w:val="5D00730C"/>
    <w:rsid w:val="5D072BC8"/>
    <w:rsid w:val="5D076525"/>
    <w:rsid w:val="5D094AA1"/>
    <w:rsid w:val="5D0A3A75"/>
    <w:rsid w:val="5D0C1CFA"/>
    <w:rsid w:val="5D0C3DBD"/>
    <w:rsid w:val="5D19384D"/>
    <w:rsid w:val="5D22473A"/>
    <w:rsid w:val="5D237B4C"/>
    <w:rsid w:val="5D2B5629"/>
    <w:rsid w:val="5D301CD3"/>
    <w:rsid w:val="5D315CEB"/>
    <w:rsid w:val="5D326462"/>
    <w:rsid w:val="5D3926A3"/>
    <w:rsid w:val="5D3B59DF"/>
    <w:rsid w:val="5D3C59F3"/>
    <w:rsid w:val="5D44590F"/>
    <w:rsid w:val="5D473075"/>
    <w:rsid w:val="5D475E41"/>
    <w:rsid w:val="5D4822EE"/>
    <w:rsid w:val="5D4C5595"/>
    <w:rsid w:val="5D5864DB"/>
    <w:rsid w:val="5D6C55F8"/>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063A0"/>
    <w:rsid w:val="5DAE2E8C"/>
    <w:rsid w:val="5DAE7F34"/>
    <w:rsid w:val="5DB42E5D"/>
    <w:rsid w:val="5DB65502"/>
    <w:rsid w:val="5DB906BB"/>
    <w:rsid w:val="5DBB6E06"/>
    <w:rsid w:val="5DC41A63"/>
    <w:rsid w:val="5DD70750"/>
    <w:rsid w:val="5DE33EAB"/>
    <w:rsid w:val="5DE44DF4"/>
    <w:rsid w:val="5DED4540"/>
    <w:rsid w:val="5E00720B"/>
    <w:rsid w:val="5E012896"/>
    <w:rsid w:val="5E050903"/>
    <w:rsid w:val="5E0825B2"/>
    <w:rsid w:val="5E0951B5"/>
    <w:rsid w:val="5E0A6049"/>
    <w:rsid w:val="5E156B70"/>
    <w:rsid w:val="5E1574AD"/>
    <w:rsid w:val="5E1822E9"/>
    <w:rsid w:val="5E21165A"/>
    <w:rsid w:val="5E214E1E"/>
    <w:rsid w:val="5E226508"/>
    <w:rsid w:val="5E2368B5"/>
    <w:rsid w:val="5E261D69"/>
    <w:rsid w:val="5E33093D"/>
    <w:rsid w:val="5E344390"/>
    <w:rsid w:val="5E3524E9"/>
    <w:rsid w:val="5E352EB6"/>
    <w:rsid w:val="5E400BF0"/>
    <w:rsid w:val="5E4250B0"/>
    <w:rsid w:val="5E4A3E88"/>
    <w:rsid w:val="5E4E539E"/>
    <w:rsid w:val="5E5B2B5A"/>
    <w:rsid w:val="5E5F0687"/>
    <w:rsid w:val="5E620763"/>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BD2EAA"/>
    <w:rsid w:val="5EC37A1E"/>
    <w:rsid w:val="5EC94A60"/>
    <w:rsid w:val="5ED95EEE"/>
    <w:rsid w:val="5EE55DDE"/>
    <w:rsid w:val="5EF04AC4"/>
    <w:rsid w:val="5EF47473"/>
    <w:rsid w:val="5EFE064F"/>
    <w:rsid w:val="5F061DE5"/>
    <w:rsid w:val="5F09081F"/>
    <w:rsid w:val="5F0B5BA1"/>
    <w:rsid w:val="5F1111AD"/>
    <w:rsid w:val="5F121A0D"/>
    <w:rsid w:val="5F1B27DE"/>
    <w:rsid w:val="5F1B3CDE"/>
    <w:rsid w:val="5F243C26"/>
    <w:rsid w:val="5F2B4891"/>
    <w:rsid w:val="5F2C64A1"/>
    <w:rsid w:val="5F39582E"/>
    <w:rsid w:val="5F3C1D82"/>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B26B7"/>
    <w:rsid w:val="5F7D66DE"/>
    <w:rsid w:val="5F810033"/>
    <w:rsid w:val="5F844DC9"/>
    <w:rsid w:val="5F8806B8"/>
    <w:rsid w:val="5F8B53D4"/>
    <w:rsid w:val="5F8C52DB"/>
    <w:rsid w:val="5F8D7479"/>
    <w:rsid w:val="5F8E4E13"/>
    <w:rsid w:val="5F8E7B88"/>
    <w:rsid w:val="5F9005B9"/>
    <w:rsid w:val="5F9175F2"/>
    <w:rsid w:val="5F966692"/>
    <w:rsid w:val="5F99467F"/>
    <w:rsid w:val="5FA00A10"/>
    <w:rsid w:val="5FA055A4"/>
    <w:rsid w:val="5FA4374A"/>
    <w:rsid w:val="5FA4380A"/>
    <w:rsid w:val="5FA4668F"/>
    <w:rsid w:val="5FA5501A"/>
    <w:rsid w:val="5FAB674F"/>
    <w:rsid w:val="5FB25387"/>
    <w:rsid w:val="5FBF3440"/>
    <w:rsid w:val="5FC53509"/>
    <w:rsid w:val="5FCC5D9F"/>
    <w:rsid w:val="5FD20829"/>
    <w:rsid w:val="5FD51F0D"/>
    <w:rsid w:val="5FD526EA"/>
    <w:rsid w:val="5FDA515F"/>
    <w:rsid w:val="5FE73834"/>
    <w:rsid w:val="5FEB0680"/>
    <w:rsid w:val="5FF744A9"/>
    <w:rsid w:val="5FF76947"/>
    <w:rsid w:val="5FFB17C7"/>
    <w:rsid w:val="5FFE6C22"/>
    <w:rsid w:val="60000309"/>
    <w:rsid w:val="6007630E"/>
    <w:rsid w:val="600B6B90"/>
    <w:rsid w:val="600C3224"/>
    <w:rsid w:val="600F6605"/>
    <w:rsid w:val="60143AD3"/>
    <w:rsid w:val="60281FCD"/>
    <w:rsid w:val="602876AC"/>
    <w:rsid w:val="602D6A03"/>
    <w:rsid w:val="603215F4"/>
    <w:rsid w:val="603771DA"/>
    <w:rsid w:val="603A1B77"/>
    <w:rsid w:val="60447E31"/>
    <w:rsid w:val="604C5236"/>
    <w:rsid w:val="605006BC"/>
    <w:rsid w:val="60584E5C"/>
    <w:rsid w:val="606162D0"/>
    <w:rsid w:val="606306D7"/>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CC25CE"/>
    <w:rsid w:val="60D3354A"/>
    <w:rsid w:val="60D4561F"/>
    <w:rsid w:val="60D67E78"/>
    <w:rsid w:val="60D76AF0"/>
    <w:rsid w:val="60DB0800"/>
    <w:rsid w:val="60DE0DB6"/>
    <w:rsid w:val="60E25F60"/>
    <w:rsid w:val="60E506DB"/>
    <w:rsid w:val="60E50AB6"/>
    <w:rsid w:val="60E54273"/>
    <w:rsid w:val="60E62D95"/>
    <w:rsid w:val="60EF153C"/>
    <w:rsid w:val="60F46839"/>
    <w:rsid w:val="60F57D45"/>
    <w:rsid w:val="60FB7A98"/>
    <w:rsid w:val="61027740"/>
    <w:rsid w:val="61034098"/>
    <w:rsid w:val="61067A64"/>
    <w:rsid w:val="61093C77"/>
    <w:rsid w:val="610C7D1D"/>
    <w:rsid w:val="610F0CDA"/>
    <w:rsid w:val="61105E47"/>
    <w:rsid w:val="6112529A"/>
    <w:rsid w:val="611A085E"/>
    <w:rsid w:val="611A7B15"/>
    <w:rsid w:val="611C4B39"/>
    <w:rsid w:val="611C59F7"/>
    <w:rsid w:val="611F0B09"/>
    <w:rsid w:val="61200AAF"/>
    <w:rsid w:val="612D2321"/>
    <w:rsid w:val="612F769F"/>
    <w:rsid w:val="613964B7"/>
    <w:rsid w:val="61397D74"/>
    <w:rsid w:val="61455CF4"/>
    <w:rsid w:val="61466898"/>
    <w:rsid w:val="61512409"/>
    <w:rsid w:val="615B2659"/>
    <w:rsid w:val="615E36E9"/>
    <w:rsid w:val="615E3F04"/>
    <w:rsid w:val="61640358"/>
    <w:rsid w:val="61676068"/>
    <w:rsid w:val="616B25D0"/>
    <w:rsid w:val="616C1663"/>
    <w:rsid w:val="616E223F"/>
    <w:rsid w:val="61703031"/>
    <w:rsid w:val="617305C5"/>
    <w:rsid w:val="61747092"/>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C051B3"/>
    <w:rsid w:val="61CD3107"/>
    <w:rsid w:val="61D17319"/>
    <w:rsid w:val="61D21120"/>
    <w:rsid w:val="61D64F2E"/>
    <w:rsid w:val="61D75E5D"/>
    <w:rsid w:val="61DA0E79"/>
    <w:rsid w:val="61E728F9"/>
    <w:rsid w:val="61F3667F"/>
    <w:rsid w:val="61F43F82"/>
    <w:rsid w:val="61F67369"/>
    <w:rsid w:val="61FB110C"/>
    <w:rsid w:val="61FB56BF"/>
    <w:rsid w:val="620B2B74"/>
    <w:rsid w:val="6210415F"/>
    <w:rsid w:val="62135137"/>
    <w:rsid w:val="62185165"/>
    <w:rsid w:val="621D66D4"/>
    <w:rsid w:val="62202586"/>
    <w:rsid w:val="62220209"/>
    <w:rsid w:val="622D780A"/>
    <w:rsid w:val="622E2CF4"/>
    <w:rsid w:val="622F5ABF"/>
    <w:rsid w:val="623D0C68"/>
    <w:rsid w:val="623F3C2D"/>
    <w:rsid w:val="62460FCD"/>
    <w:rsid w:val="62480FF0"/>
    <w:rsid w:val="62481D61"/>
    <w:rsid w:val="624B14C1"/>
    <w:rsid w:val="624C02FE"/>
    <w:rsid w:val="624F0394"/>
    <w:rsid w:val="62590ABF"/>
    <w:rsid w:val="625A29D8"/>
    <w:rsid w:val="625B2CDA"/>
    <w:rsid w:val="625B47C2"/>
    <w:rsid w:val="625B79FF"/>
    <w:rsid w:val="625F6E6C"/>
    <w:rsid w:val="62624625"/>
    <w:rsid w:val="62630C6B"/>
    <w:rsid w:val="626C1BC9"/>
    <w:rsid w:val="627301E8"/>
    <w:rsid w:val="627369C7"/>
    <w:rsid w:val="62920187"/>
    <w:rsid w:val="6295194F"/>
    <w:rsid w:val="6299295E"/>
    <w:rsid w:val="629A07BC"/>
    <w:rsid w:val="629D61D1"/>
    <w:rsid w:val="62A24E62"/>
    <w:rsid w:val="62A33CA7"/>
    <w:rsid w:val="62A36C5E"/>
    <w:rsid w:val="62B63055"/>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433F8"/>
    <w:rsid w:val="632528E5"/>
    <w:rsid w:val="632548A2"/>
    <w:rsid w:val="632936A9"/>
    <w:rsid w:val="632D6DAA"/>
    <w:rsid w:val="632E0749"/>
    <w:rsid w:val="632F06D8"/>
    <w:rsid w:val="63311536"/>
    <w:rsid w:val="63317698"/>
    <w:rsid w:val="63340EAE"/>
    <w:rsid w:val="63403F5C"/>
    <w:rsid w:val="634331FC"/>
    <w:rsid w:val="63443DC2"/>
    <w:rsid w:val="63466E18"/>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7E36"/>
    <w:rsid w:val="63842477"/>
    <w:rsid w:val="638823F9"/>
    <w:rsid w:val="63891BA5"/>
    <w:rsid w:val="638B04D2"/>
    <w:rsid w:val="63912AB2"/>
    <w:rsid w:val="639A118D"/>
    <w:rsid w:val="639B7C08"/>
    <w:rsid w:val="63A13147"/>
    <w:rsid w:val="63A177A7"/>
    <w:rsid w:val="63A76A3F"/>
    <w:rsid w:val="63A85CD1"/>
    <w:rsid w:val="63AB2A39"/>
    <w:rsid w:val="63B02C42"/>
    <w:rsid w:val="63C51AD9"/>
    <w:rsid w:val="63C54411"/>
    <w:rsid w:val="63C733FE"/>
    <w:rsid w:val="63C9048D"/>
    <w:rsid w:val="63CD27C8"/>
    <w:rsid w:val="63CD4C2D"/>
    <w:rsid w:val="63CF2629"/>
    <w:rsid w:val="63D07AD2"/>
    <w:rsid w:val="63D40E51"/>
    <w:rsid w:val="63D52E6F"/>
    <w:rsid w:val="63D85FCA"/>
    <w:rsid w:val="63E263F4"/>
    <w:rsid w:val="63E418C9"/>
    <w:rsid w:val="63F55755"/>
    <w:rsid w:val="63F77BBC"/>
    <w:rsid w:val="63FB6EC6"/>
    <w:rsid w:val="63FD7654"/>
    <w:rsid w:val="640A7217"/>
    <w:rsid w:val="640C2BB6"/>
    <w:rsid w:val="6411454E"/>
    <w:rsid w:val="64225C1C"/>
    <w:rsid w:val="642437E9"/>
    <w:rsid w:val="64340283"/>
    <w:rsid w:val="64340FCD"/>
    <w:rsid w:val="64377182"/>
    <w:rsid w:val="643B7181"/>
    <w:rsid w:val="643E4883"/>
    <w:rsid w:val="643F3FFC"/>
    <w:rsid w:val="644A69BC"/>
    <w:rsid w:val="644C372C"/>
    <w:rsid w:val="64521327"/>
    <w:rsid w:val="645256C0"/>
    <w:rsid w:val="645B5DC0"/>
    <w:rsid w:val="645D3A6B"/>
    <w:rsid w:val="64613F6F"/>
    <w:rsid w:val="646310B8"/>
    <w:rsid w:val="64633CC7"/>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AF64BE"/>
    <w:rsid w:val="64B453B1"/>
    <w:rsid w:val="64BE5702"/>
    <w:rsid w:val="64C048B9"/>
    <w:rsid w:val="64C16289"/>
    <w:rsid w:val="64CF05E4"/>
    <w:rsid w:val="64CF1E41"/>
    <w:rsid w:val="64D32645"/>
    <w:rsid w:val="64D81CB8"/>
    <w:rsid w:val="64D93F02"/>
    <w:rsid w:val="64DF1E48"/>
    <w:rsid w:val="64DF440C"/>
    <w:rsid w:val="64E52880"/>
    <w:rsid w:val="64E5543E"/>
    <w:rsid w:val="64E76F6D"/>
    <w:rsid w:val="64EA4517"/>
    <w:rsid w:val="64FC561C"/>
    <w:rsid w:val="64FC687A"/>
    <w:rsid w:val="64FE0E31"/>
    <w:rsid w:val="65081212"/>
    <w:rsid w:val="650F5743"/>
    <w:rsid w:val="65181463"/>
    <w:rsid w:val="651A5C6A"/>
    <w:rsid w:val="651C38DB"/>
    <w:rsid w:val="651E7E36"/>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5E2DA1"/>
    <w:rsid w:val="656171FC"/>
    <w:rsid w:val="65635CAF"/>
    <w:rsid w:val="65636611"/>
    <w:rsid w:val="656E4951"/>
    <w:rsid w:val="656F1A01"/>
    <w:rsid w:val="6570700F"/>
    <w:rsid w:val="6574303E"/>
    <w:rsid w:val="65755F0A"/>
    <w:rsid w:val="657F0CE6"/>
    <w:rsid w:val="65833C4F"/>
    <w:rsid w:val="658B37B6"/>
    <w:rsid w:val="658C2DCE"/>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5FE10A7"/>
    <w:rsid w:val="66032E7B"/>
    <w:rsid w:val="66053581"/>
    <w:rsid w:val="66087876"/>
    <w:rsid w:val="6609517F"/>
    <w:rsid w:val="660A19B0"/>
    <w:rsid w:val="660B3A10"/>
    <w:rsid w:val="661026AA"/>
    <w:rsid w:val="661207AA"/>
    <w:rsid w:val="661635F6"/>
    <w:rsid w:val="661D3F49"/>
    <w:rsid w:val="66213A5C"/>
    <w:rsid w:val="6624683A"/>
    <w:rsid w:val="66252267"/>
    <w:rsid w:val="662D2EA4"/>
    <w:rsid w:val="662F2BB7"/>
    <w:rsid w:val="66305B82"/>
    <w:rsid w:val="6631571B"/>
    <w:rsid w:val="663D054E"/>
    <w:rsid w:val="66460692"/>
    <w:rsid w:val="6658158E"/>
    <w:rsid w:val="66631FDD"/>
    <w:rsid w:val="66634E10"/>
    <w:rsid w:val="66727620"/>
    <w:rsid w:val="66763EED"/>
    <w:rsid w:val="66782A0E"/>
    <w:rsid w:val="667930F9"/>
    <w:rsid w:val="6679372B"/>
    <w:rsid w:val="667B3C56"/>
    <w:rsid w:val="66822EA8"/>
    <w:rsid w:val="668358DD"/>
    <w:rsid w:val="668B6CBD"/>
    <w:rsid w:val="66953491"/>
    <w:rsid w:val="66980BF6"/>
    <w:rsid w:val="669C0543"/>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173F9"/>
    <w:rsid w:val="66E3226C"/>
    <w:rsid w:val="66E611A7"/>
    <w:rsid w:val="66E80EB0"/>
    <w:rsid w:val="66EC5E36"/>
    <w:rsid w:val="66F12AA5"/>
    <w:rsid w:val="66F569E1"/>
    <w:rsid w:val="66F76034"/>
    <w:rsid w:val="66FD7799"/>
    <w:rsid w:val="66FE15F4"/>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766CB"/>
    <w:rsid w:val="675A0CA3"/>
    <w:rsid w:val="675A17FE"/>
    <w:rsid w:val="675D2F5C"/>
    <w:rsid w:val="675E5725"/>
    <w:rsid w:val="67617AF0"/>
    <w:rsid w:val="67627B2A"/>
    <w:rsid w:val="6768655A"/>
    <w:rsid w:val="676B5EF5"/>
    <w:rsid w:val="676E1585"/>
    <w:rsid w:val="67775952"/>
    <w:rsid w:val="677C1FA7"/>
    <w:rsid w:val="677E2FA1"/>
    <w:rsid w:val="67825A15"/>
    <w:rsid w:val="67834615"/>
    <w:rsid w:val="67836FB1"/>
    <w:rsid w:val="678A12A7"/>
    <w:rsid w:val="678A44B2"/>
    <w:rsid w:val="678C1D52"/>
    <w:rsid w:val="678D19D7"/>
    <w:rsid w:val="67920C02"/>
    <w:rsid w:val="6792321C"/>
    <w:rsid w:val="67934263"/>
    <w:rsid w:val="67941515"/>
    <w:rsid w:val="67973403"/>
    <w:rsid w:val="67A055CE"/>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42107"/>
    <w:rsid w:val="680965F8"/>
    <w:rsid w:val="680D4C45"/>
    <w:rsid w:val="680E4ECF"/>
    <w:rsid w:val="6811066C"/>
    <w:rsid w:val="68127886"/>
    <w:rsid w:val="68135F70"/>
    <w:rsid w:val="681778E7"/>
    <w:rsid w:val="681B5BF4"/>
    <w:rsid w:val="681E04E0"/>
    <w:rsid w:val="68240EAA"/>
    <w:rsid w:val="6825323C"/>
    <w:rsid w:val="682D20B0"/>
    <w:rsid w:val="68356624"/>
    <w:rsid w:val="68364404"/>
    <w:rsid w:val="683D75A2"/>
    <w:rsid w:val="683E1DD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B167E"/>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13E8B"/>
    <w:rsid w:val="69731101"/>
    <w:rsid w:val="6974083C"/>
    <w:rsid w:val="697D087B"/>
    <w:rsid w:val="69807B1E"/>
    <w:rsid w:val="698D012C"/>
    <w:rsid w:val="69992E3D"/>
    <w:rsid w:val="699F40EA"/>
    <w:rsid w:val="69A27EDD"/>
    <w:rsid w:val="69A346E7"/>
    <w:rsid w:val="69A71B52"/>
    <w:rsid w:val="69A7770D"/>
    <w:rsid w:val="69A966F8"/>
    <w:rsid w:val="69AC0B64"/>
    <w:rsid w:val="69B27491"/>
    <w:rsid w:val="69B27C94"/>
    <w:rsid w:val="69BA2288"/>
    <w:rsid w:val="69BB7CE2"/>
    <w:rsid w:val="69BF343C"/>
    <w:rsid w:val="69C25B29"/>
    <w:rsid w:val="69C82CA0"/>
    <w:rsid w:val="69D2134C"/>
    <w:rsid w:val="69D5264A"/>
    <w:rsid w:val="69D537ED"/>
    <w:rsid w:val="69DB7BB3"/>
    <w:rsid w:val="69DC3AC1"/>
    <w:rsid w:val="69E6402E"/>
    <w:rsid w:val="69E673F8"/>
    <w:rsid w:val="69EA6C64"/>
    <w:rsid w:val="69EB2120"/>
    <w:rsid w:val="69EE7718"/>
    <w:rsid w:val="69EF1603"/>
    <w:rsid w:val="69EF180F"/>
    <w:rsid w:val="69F00B35"/>
    <w:rsid w:val="69F03B82"/>
    <w:rsid w:val="69F10C55"/>
    <w:rsid w:val="69F224F8"/>
    <w:rsid w:val="69F3045E"/>
    <w:rsid w:val="69F3790F"/>
    <w:rsid w:val="6A036F5F"/>
    <w:rsid w:val="6A064BF7"/>
    <w:rsid w:val="6A121AB8"/>
    <w:rsid w:val="6A12415B"/>
    <w:rsid w:val="6A152CC8"/>
    <w:rsid w:val="6A172663"/>
    <w:rsid w:val="6A1D05D4"/>
    <w:rsid w:val="6A245089"/>
    <w:rsid w:val="6A25601C"/>
    <w:rsid w:val="6A262E47"/>
    <w:rsid w:val="6A2750C5"/>
    <w:rsid w:val="6A281BA5"/>
    <w:rsid w:val="6A290AA5"/>
    <w:rsid w:val="6A2A46CE"/>
    <w:rsid w:val="6A2C7141"/>
    <w:rsid w:val="6A2F521E"/>
    <w:rsid w:val="6A3A1167"/>
    <w:rsid w:val="6A3D030C"/>
    <w:rsid w:val="6A3F4FDB"/>
    <w:rsid w:val="6A4C7071"/>
    <w:rsid w:val="6A4F4F6F"/>
    <w:rsid w:val="6A532FF6"/>
    <w:rsid w:val="6A5B0A88"/>
    <w:rsid w:val="6A601C8F"/>
    <w:rsid w:val="6A6A0FDF"/>
    <w:rsid w:val="6A7136BA"/>
    <w:rsid w:val="6A7174A5"/>
    <w:rsid w:val="6A72508F"/>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925EE"/>
    <w:rsid w:val="6A9B5915"/>
    <w:rsid w:val="6A9B7735"/>
    <w:rsid w:val="6AA02774"/>
    <w:rsid w:val="6AA258AD"/>
    <w:rsid w:val="6AA41157"/>
    <w:rsid w:val="6AAB2AD1"/>
    <w:rsid w:val="6AAE5F36"/>
    <w:rsid w:val="6AAF2259"/>
    <w:rsid w:val="6AB45A03"/>
    <w:rsid w:val="6ABE4FFD"/>
    <w:rsid w:val="6AD902D6"/>
    <w:rsid w:val="6AD909E0"/>
    <w:rsid w:val="6ADC49EF"/>
    <w:rsid w:val="6ADD4FD8"/>
    <w:rsid w:val="6ADD71F3"/>
    <w:rsid w:val="6AE26C27"/>
    <w:rsid w:val="6AED013C"/>
    <w:rsid w:val="6AEE59AB"/>
    <w:rsid w:val="6AF159FF"/>
    <w:rsid w:val="6AF421E2"/>
    <w:rsid w:val="6AF57F3A"/>
    <w:rsid w:val="6AF63F29"/>
    <w:rsid w:val="6AFB7DF3"/>
    <w:rsid w:val="6AFE4F30"/>
    <w:rsid w:val="6B0A3D9B"/>
    <w:rsid w:val="6B0E002C"/>
    <w:rsid w:val="6B1E05E1"/>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1739E"/>
    <w:rsid w:val="6B6849C2"/>
    <w:rsid w:val="6B6C560D"/>
    <w:rsid w:val="6B705E52"/>
    <w:rsid w:val="6B735BFD"/>
    <w:rsid w:val="6B785D05"/>
    <w:rsid w:val="6B7F7BD7"/>
    <w:rsid w:val="6B846AF2"/>
    <w:rsid w:val="6B95396B"/>
    <w:rsid w:val="6B992EAC"/>
    <w:rsid w:val="6BAA2D23"/>
    <w:rsid w:val="6BAC0EF7"/>
    <w:rsid w:val="6BB90470"/>
    <w:rsid w:val="6BBB00B1"/>
    <w:rsid w:val="6BBD3E9D"/>
    <w:rsid w:val="6BC03721"/>
    <w:rsid w:val="6BC17B0B"/>
    <w:rsid w:val="6BC43438"/>
    <w:rsid w:val="6BC51A97"/>
    <w:rsid w:val="6BCC01D5"/>
    <w:rsid w:val="6BCF2DCA"/>
    <w:rsid w:val="6BD504D2"/>
    <w:rsid w:val="6BD52E14"/>
    <w:rsid w:val="6BDD0493"/>
    <w:rsid w:val="6BDE54AC"/>
    <w:rsid w:val="6BE068F6"/>
    <w:rsid w:val="6BE072B5"/>
    <w:rsid w:val="6BE40FB6"/>
    <w:rsid w:val="6BEA30F0"/>
    <w:rsid w:val="6BEA5C11"/>
    <w:rsid w:val="6BEC52EB"/>
    <w:rsid w:val="6BEE2C86"/>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4A50"/>
    <w:rsid w:val="6C65329A"/>
    <w:rsid w:val="6C666C3C"/>
    <w:rsid w:val="6C6833E1"/>
    <w:rsid w:val="6C726F5A"/>
    <w:rsid w:val="6C751A38"/>
    <w:rsid w:val="6C7707E9"/>
    <w:rsid w:val="6C882F2E"/>
    <w:rsid w:val="6C8E4315"/>
    <w:rsid w:val="6C9360FF"/>
    <w:rsid w:val="6C95615F"/>
    <w:rsid w:val="6C9C4317"/>
    <w:rsid w:val="6CA94419"/>
    <w:rsid w:val="6CB242A2"/>
    <w:rsid w:val="6CB92EE5"/>
    <w:rsid w:val="6CBB719C"/>
    <w:rsid w:val="6CC818AD"/>
    <w:rsid w:val="6CD944B7"/>
    <w:rsid w:val="6CE0612A"/>
    <w:rsid w:val="6CE269D3"/>
    <w:rsid w:val="6CE66441"/>
    <w:rsid w:val="6CEC448A"/>
    <w:rsid w:val="6CED284E"/>
    <w:rsid w:val="6CED3DB2"/>
    <w:rsid w:val="6CF04EB7"/>
    <w:rsid w:val="6CF17872"/>
    <w:rsid w:val="6CF76712"/>
    <w:rsid w:val="6CFD23D1"/>
    <w:rsid w:val="6D033EFD"/>
    <w:rsid w:val="6D0652BF"/>
    <w:rsid w:val="6D0A7734"/>
    <w:rsid w:val="6D0B0E35"/>
    <w:rsid w:val="6D0D6D19"/>
    <w:rsid w:val="6D0D75B0"/>
    <w:rsid w:val="6D273B17"/>
    <w:rsid w:val="6D274676"/>
    <w:rsid w:val="6D2C096D"/>
    <w:rsid w:val="6D2D5212"/>
    <w:rsid w:val="6D2F4B50"/>
    <w:rsid w:val="6D334D48"/>
    <w:rsid w:val="6D374EDB"/>
    <w:rsid w:val="6D385ED1"/>
    <w:rsid w:val="6D3967DF"/>
    <w:rsid w:val="6D3B5F83"/>
    <w:rsid w:val="6D3C14B2"/>
    <w:rsid w:val="6D436625"/>
    <w:rsid w:val="6D4720E6"/>
    <w:rsid w:val="6D4A7F79"/>
    <w:rsid w:val="6D4B7436"/>
    <w:rsid w:val="6D500998"/>
    <w:rsid w:val="6D5679C6"/>
    <w:rsid w:val="6D59673E"/>
    <w:rsid w:val="6D5B2AAB"/>
    <w:rsid w:val="6D5D3D5C"/>
    <w:rsid w:val="6D5E64E8"/>
    <w:rsid w:val="6D621A21"/>
    <w:rsid w:val="6D652ED0"/>
    <w:rsid w:val="6D662717"/>
    <w:rsid w:val="6D663299"/>
    <w:rsid w:val="6D770FC8"/>
    <w:rsid w:val="6D790A31"/>
    <w:rsid w:val="6D7D5646"/>
    <w:rsid w:val="6D7D69B3"/>
    <w:rsid w:val="6D807862"/>
    <w:rsid w:val="6D811E5F"/>
    <w:rsid w:val="6D816186"/>
    <w:rsid w:val="6D83795B"/>
    <w:rsid w:val="6D8F5451"/>
    <w:rsid w:val="6D90338E"/>
    <w:rsid w:val="6D925740"/>
    <w:rsid w:val="6D9A5E72"/>
    <w:rsid w:val="6D9D3EE4"/>
    <w:rsid w:val="6D9E7C69"/>
    <w:rsid w:val="6DA71839"/>
    <w:rsid w:val="6DA84071"/>
    <w:rsid w:val="6DA86A73"/>
    <w:rsid w:val="6DB20233"/>
    <w:rsid w:val="6DB81D13"/>
    <w:rsid w:val="6DC54D30"/>
    <w:rsid w:val="6DC65806"/>
    <w:rsid w:val="6DCA2F8B"/>
    <w:rsid w:val="6DDF0294"/>
    <w:rsid w:val="6DE805F3"/>
    <w:rsid w:val="6DE9618F"/>
    <w:rsid w:val="6DED02CD"/>
    <w:rsid w:val="6DF07F1A"/>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647E8"/>
    <w:rsid w:val="6E376A3A"/>
    <w:rsid w:val="6E3E181B"/>
    <w:rsid w:val="6E3F1C0F"/>
    <w:rsid w:val="6E484191"/>
    <w:rsid w:val="6E4E018F"/>
    <w:rsid w:val="6E4E0EC4"/>
    <w:rsid w:val="6E561494"/>
    <w:rsid w:val="6E56744B"/>
    <w:rsid w:val="6E567CD0"/>
    <w:rsid w:val="6E5C099F"/>
    <w:rsid w:val="6E606342"/>
    <w:rsid w:val="6E606731"/>
    <w:rsid w:val="6E633CB5"/>
    <w:rsid w:val="6E651C83"/>
    <w:rsid w:val="6E6E75D4"/>
    <w:rsid w:val="6E7106EF"/>
    <w:rsid w:val="6E72570E"/>
    <w:rsid w:val="6E734770"/>
    <w:rsid w:val="6E785A45"/>
    <w:rsid w:val="6E796FC0"/>
    <w:rsid w:val="6E7F4527"/>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044C2"/>
    <w:rsid w:val="6F14289F"/>
    <w:rsid w:val="6F153E64"/>
    <w:rsid w:val="6F162C84"/>
    <w:rsid w:val="6F263789"/>
    <w:rsid w:val="6F28474F"/>
    <w:rsid w:val="6F350882"/>
    <w:rsid w:val="6F35635E"/>
    <w:rsid w:val="6F3713E9"/>
    <w:rsid w:val="6F384951"/>
    <w:rsid w:val="6F447F07"/>
    <w:rsid w:val="6F4876AF"/>
    <w:rsid w:val="6F4D0B69"/>
    <w:rsid w:val="6F537FC0"/>
    <w:rsid w:val="6F5E3CAA"/>
    <w:rsid w:val="6F5F4B14"/>
    <w:rsid w:val="6F607895"/>
    <w:rsid w:val="6F61040C"/>
    <w:rsid w:val="6F6776E1"/>
    <w:rsid w:val="6F6D2EDC"/>
    <w:rsid w:val="6F702CF5"/>
    <w:rsid w:val="6F714EFF"/>
    <w:rsid w:val="6F7929D2"/>
    <w:rsid w:val="6F7A0C79"/>
    <w:rsid w:val="6F7E1B78"/>
    <w:rsid w:val="6F967ACA"/>
    <w:rsid w:val="6F9A4660"/>
    <w:rsid w:val="6F9C5D71"/>
    <w:rsid w:val="6FA3781E"/>
    <w:rsid w:val="6FA9586A"/>
    <w:rsid w:val="6FAC61CF"/>
    <w:rsid w:val="6FAD768A"/>
    <w:rsid w:val="6FAF5C06"/>
    <w:rsid w:val="6FB32C37"/>
    <w:rsid w:val="6FB415FB"/>
    <w:rsid w:val="6FB51E4A"/>
    <w:rsid w:val="6FB7425E"/>
    <w:rsid w:val="6FB80EE8"/>
    <w:rsid w:val="6FC07769"/>
    <w:rsid w:val="6FC0781E"/>
    <w:rsid w:val="6FD36624"/>
    <w:rsid w:val="6FD86BFB"/>
    <w:rsid w:val="6FD964E5"/>
    <w:rsid w:val="6FDC6A2D"/>
    <w:rsid w:val="6FE53444"/>
    <w:rsid w:val="6FE76FE3"/>
    <w:rsid w:val="6FEE1369"/>
    <w:rsid w:val="6FF1528E"/>
    <w:rsid w:val="6FF561D1"/>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23736"/>
    <w:rsid w:val="70494AF1"/>
    <w:rsid w:val="704A6916"/>
    <w:rsid w:val="7054528E"/>
    <w:rsid w:val="70555B90"/>
    <w:rsid w:val="705E76BE"/>
    <w:rsid w:val="706769F6"/>
    <w:rsid w:val="70680AC8"/>
    <w:rsid w:val="70684400"/>
    <w:rsid w:val="706D51B8"/>
    <w:rsid w:val="70712877"/>
    <w:rsid w:val="70737F32"/>
    <w:rsid w:val="70767F2C"/>
    <w:rsid w:val="70785A86"/>
    <w:rsid w:val="707E62BB"/>
    <w:rsid w:val="70871107"/>
    <w:rsid w:val="70910C43"/>
    <w:rsid w:val="70936BDF"/>
    <w:rsid w:val="70992BBC"/>
    <w:rsid w:val="709E4E34"/>
    <w:rsid w:val="709E640C"/>
    <w:rsid w:val="70A106DA"/>
    <w:rsid w:val="70A156F4"/>
    <w:rsid w:val="70A24763"/>
    <w:rsid w:val="70AC0E63"/>
    <w:rsid w:val="70AD5CCA"/>
    <w:rsid w:val="70AD6555"/>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24E2"/>
    <w:rsid w:val="710B03C6"/>
    <w:rsid w:val="710C1678"/>
    <w:rsid w:val="710F2DDC"/>
    <w:rsid w:val="711604AB"/>
    <w:rsid w:val="712762EB"/>
    <w:rsid w:val="71276CF1"/>
    <w:rsid w:val="712D2ADB"/>
    <w:rsid w:val="712D4159"/>
    <w:rsid w:val="713218B7"/>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984CB3"/>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3C60E2"/>
    <w:rsid w:val="724219E5"/>
    <w:rsid w:val="72430835"/>
    <w:rsid w:val="724A1C04"/>
    <w:rsid w:val="724C2BE9"/>
    <w:rsid w:val="724D4B1D"/>
    <w:rsid w:val="724E54F1"/>
    <w:rsid w:val="7254202A"/>
    <w:rsid w:val="725D29D6"/>
    <w:rsid w:val="725E4102"/>
    <w:rsid w:val="726248F8"/>
    <w:rsid w:val="72632A3F"/>
    <w:rsid w:val="727334E4"/>
    <w:rsid w:val="72756082"/>
    <w:rsid w:val="72772DDB"/>
    <w:rsid w:val="72796D22"/>
    <w:rsid w:val="727A74F6"/>
    <w:rsid w:val="727B2E39"/>
    <w:rsid w:val="72805AF5"/>
    <w:rsid w:val="72817EEF"/>
    <w:rsid w:val="72827328"/>
    <w:rsid w:val="72827920"/>
    <w:rsid w:val="728B2CA4"/>
    <w:rsid w:val="728B509F"/>
    <w:rsid w:val="728C455D"/>
    <w:rsid w:val="728F0A31"/>
    <w:rsid w:val="72956B6B"/>
    <w:rsid w:val="729A297B"/>
    <w:rsid w:val="729D55A7"/>
    <w:rsid w:val="72A13C6B"/>
    <w:rsid w:val="72A310CE"/>
    <w:rsid w:val="72A60BAC"/>
    <w:rsid w:val="72AD212E"/>
    <w:rsid w:val="72AF09AE"/>
    <w:rsid w:val="72B23B41"/>
    <w:rsid w:val="72B307F0"/>
    <w:rsid w:val="72B751B8"/>
    <w:rsid w:val="72BB70EB"/>
    <w:rsid w:val="72BE13CE"/>
    <w:rsid w:val="72BE6371"/>
    <w:rsid w:val="72BF25A6"/>
    <w:rsid w:val="72BF7C4E"/>
    <w:rsid w:val="72BF7D5A"/>
    <w:rsid w:val="72C221EC"/>
    <w:rsid w:val="72CE3184"/>
    <w:rsid w:val="72CE7D06"/>
    <w:rsid w:val="72CF006B"/>
    <w:rsid w:val="72CF40C2"/>
    <w:rsid w:val="72D456A5"/>
    <w:rsid w:val="72E70D52"/>
    <w:rsid w:val="72E85A7E"/>
    <w:rsid w:val="72EA6B66"/>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2C77"/>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410A"/>
    <w:rsid w:val="73690216"/>
    <w:rsid w:val="736A02D8"/>
    <w:rsid w:val="736C1945"/>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40B89"/>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1034F"/>
    <w:rsid w:val="7407051F"/>
    <w:rsid w:val="740C0741"/>
    <w:rsid w:val="740E71A7"/>
    <w:rsid w:val="741076D1"/>
    <w:rsid w:val="74115578"/>
    <w:rsid w:val="74141C1A"/>
    <w:rsid w:val="74163CEE"/>
    <w:rsid w:val="74215D04"/>
    <w:rsid w:val="74257C35"/>
    <w:rsid w:val="742A0965"/>
    <w:rsid w:val="742D019C"/>
    <w:rsid w:val="742D6DB6"/>
    <w:rsid w:val="742E6655"/>
    <w:rsid w:val="742E74D7"/>
    <w:rsid w:val="74306BB5"/>
    <w:rsid w:val="744642D9"/>
    <w:rsid w:val="74522D94"/>
    <w:rsid w:val="7467225C"/>
    <w:rsid w:val="746B086B"/>
    <w:rsid w:val="746B2FD5"/>
    <w:rsid w:val="746C430C"/>
    <w:rsid w:val="746D6628"/>
    <w:rsid w:val="74712155"/>
    <w:rsid w:val="74775754"/>
    <w:rsid w:val="74782A8C"/>
    <w:rsid w:val="747C7F5F"/>
    <w:rsid w:val="747F0E23"/>
    <w:rsid w:val="74964674"/>
    <w:rsid w:val="749D5800"/>
    <w:rsid w:val="74A63A12"/>
    <w:rsid w:val="74A73312"/>
    <w:rsid w:val="74A739B2"/>
    <w:rsid w:val="74A8001E"/>
    <w:rsid w:val="74B06962"/>
    <w:rsid w:val="74B32215"/>
    <w:rsid w:val="74BC7516"/>
    <w:rsid w:val="74C0607C"/>
    <w:rsid w:val="74C46840"/>
    <w:rsid w:val="74CF4657"/>
    <w:rsid w:val="74D575AA"/>
    <w:rsid w:val="74D63C4F"/>
    <w:rsid w:val="74D71DDE"/>
    <w:rsid w:val="74D95703"/>
    <w:rsid w:val="74DA7956"/>
    <w:rsid w:val="74E11F86"/>
    <w:rsid w:val="74FB509B"/>
    <w:rsid w:val="74FB6035"/>
    <w:rsid w:val="74FF07F1"/>
    <w:rsid w:val="7501571B"/>
    <w:rsid w:val="7502618E"/>
    <w:rsid w:val="75056699"/>
    <w:rsid w:val="7507587E"/>
    <w:rsid w:val="750934A8"/>
    <w:rsid w:val="750A15E4"/>
    <w:rsid w:val="750C76FA"/>
    <w:rsid w:val="751E29FC"/>
    <w:rsid w:val="752B3381"/>
    <w:rsid w:val="75325694"/>
    <w:rsid w:val="7534402F"/>
    <w:rsid w:val="75376E15"/>
    <w:rsid w:val="753B454F"/>
    <w:rsid w:val="753D6B7D"/>
    <w:rsid w:val="7540434E"/>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15DCD"/>
    <w:rsid w:val="75D357A7"/>
    <w:rsid w:val="75DA5FC8"/>
    <w:rsid w:val="75DB08A6"/>
    <w:rsid w:val="75DB5FA1"/>
    <w:rsid w:val="75E1357A"/>
    <w:rsid w:val="75E2330A"/>
    <w:rsid w:val="75E7499A"/>
    <w:rsid w:val="75F41740"/>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57EC3"/>
    <w:rsid w:val="76587361"/>
    <w:rsid w:val="765C6722"/>
    <w:rsid w:val="765F0FBA"/>
    <w:rsid w:val="766314AA"/>
    <w:rsid w:val="76671958"/>
    <w:rsid w:val="76674D6A"/>
    <w:rsid w:val="76690632"/>
    <w:rsid w:val="766E0B9F"/>
    <w:rsid w:val="766F546C"/>
    <w:rsid w:val="767469E2"/>
    <w:rsid w:val="76775F0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CD7B46"/>
    <w:rsid w:val="76CF5DCE"/>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1464C"/>
    <w:rsid w:val="77164C28"/>
    <w:rsid w:val="771865D9"/>
    <w:rsid w:val="77187F65"/>
    <w:rsid w:val="771C46CE"/>
    <w:rsid w:val="77207E3A"/>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16819"/>
    <w:rsid w:val="77966F4C"/>
    <w:rsid w:val="779A317D"/>
    <w:rsid w:val="779D7890"/>
    <w:rsid w:val="779E1756"/>
    <w:rsid w:val="779E309B"/>
    <w:rsid w:val="77A31525"/>
    <w:rsid w:val="77A47BCA"/>
    <w:rsid w:val="77A75021"/>
    <w:rsid w:val="77B4796D"/>
    <w:rsid w:val="77B8689C"/>
    <w:rsid w:val="77BC7D3E"/>
    <w:rsid w:val="77BD5A24"/>
    <w:rsid w:val="77BE4F12"/>
    <w:rsid w:val="77C2510C"/>
    <w:rsid w:val="77C42326"/>
    <w:rsid w:val="77C833A2"/>
    <w:rsid w:val="77C86879"/>
    <w:rsid w:val="77D21E05"/>
    <w:rsid w:val="77D26B27"/>
    <w:rsid w:val="77E568E3"/>
    <w:rsid w:val="77E746B2"/>
    <w:rsid w:val="77EB5A0F"/>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66AD"/>
    <w:rsid w:val="782A738E"/>
    <w:rsid w:val="78306028"/>
    <w:rsid w:val="78316382"/>
    <w:rsid w:val="78326BCF"/>
    <w:rsid w:val="78355626"/>
    <w:rsid w:val="783643C3"/>
    <w:rsid w:val="78375EBD"/>
    <w:rsid w:val="783A01F4"/>
    <w:rsid w:val="783C1995"/>
    <w:rsid w:val="784151EC"/>
    <w:rsid w:val="784563AF"/>
    <w:rsid w:val="78480067"/>
    <w:rsid w:val="7849196F"/>
    <w:rsid w:val="78591903"/>
    <w:rsid w:val="785B65FF"/>
    <w:rsid w:val="785D1993"/>
    <w:rsid w:val="785D73A1"/>
    <w:rsid w:val="785E356A"/>
    <w:rsid w:val="78620E7C"/>
    <w:rsid w:val="78683A2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04A2A"/>
    <w:rsid w:val="78B706A3"/>
    <w:rsid w:val="78B744F1"/>
    <w:rsid w:val="78B84528"/>
    <w:rsid w:val="78B91C9F"/>
    <w:rsid w:val="78BC539D"/>
    <w:rsid w:val="78C134B0"/>
    <w:rsid w:val="78C1373F"/>
    <w:rsid w:val="78C448EB"/>
    <w:rsid w:val="78C64CC0"/>
    <w:rsid w:val="78C67D14"/>
    <w:rsid w:val="78C67F88"/>
    <w:rsid w:val="78C9689B"/>
    <w:rsid w:val="78CD3535"/>
    <w:rsid w:val="78D44148"/>
    <w:rsid w:val="78D97F0E"/>
    <w:rsid w:val="78DA009A"/>
    <w:rsid w:val="78DC2FA9"/>
    <w:rsid w:val="78DD4939"/>
    <w:rsid w:val="78DF5F11"/>
    <w:rsid w:val="78E062D1"/>
    <w:rsid w:val="78EB1C8F"/>
    <w:rsid w:val="78ED2BD0"/>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50D11"/>
    <w:rsid w:val="79351894"/>
    <w:rsid w:val="79404763"/>
    <w:rsid w:val="7940572D"/>
    <w:rsid w:val="794353F6"/>
    <w:rsid w:val="79442CA1"/>
    <w:rsid w:val="79461391"/>
    <w:rsid w:val="79474814"/>
    <w:rsid w:val="79492AA1"/>
    <w:rsid w:val="794B4D74"/>
    <w:rsid w:val="79501475"/>
    <w:rsid w:val="79524043"/>
    <w:rsid w:val="795A5499"/>
    <w:rsid w:val="796E35F2"/>
    <w:rsid w:val="7971290E"/>
    <w:rsid w:val="79756908"/>
    <w:rsid w:val="79762768"/>
    <w:rsid w:val="797900A9"/>
    <w:rsid w:val="797951A9"/>
    <w:rsid w:val="797C0892"/>
    <w:rsid w:val="798118A3"/>
    <w:rsid w:val="798C57FA"/>
    <w:rsid w:val="798E4989"/>
    <w:rsid w:val="7990174F"/>
    <w:rsid w:val="799537B4"/>
    <w:rsid w:val="799A4E9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19705E"/>
    <w:rsid w:val="7A200921"/>
    <w:rsid w:val="7A245751"/>
    <w:rsid w:val="7A262C2D"/>
    <w:rsid w:val="7A291938"/>
    <w:rsid w:val="7A303F52"/>
    <w:rsid w:val="7A3C7419"/>
    <w:rsid w:val="7A3D7CC0"/>
    <w:rsid w:val="7A4006D3"/>
    <w:rsid w:val="7A4801BB"/>
    <w:rsid w:val="7A485CE1"/>
    <w:rsid w:val="7A491EF3"/>
    <w:rsid w:val="7A4D07BA"/>
    <w:rsid w:val="7A566BBE"/>
    <w:rsid w:val="7A5863D3"/>
    <w:rsid w:val="7A5C5FAF"/>
    <w:rsid w:val="7A634604"/>
    <w:rsid w:val="7A64499E"/>
    <w:rsid w:val="7A6656B6"/>
    <w:rsid w:val="7A665F09"/>
    <w:rsid w:val="7A6C3449"/>
    <w:rsid w:val="7A711BBA"/>
    <w:rsid w:val="7A723F72"/>
    <w:rsid w:val="7A743D9C"/>
    <w:rsid w:val="7A7B2C10"/>
    <w:rsid w:val="7A7C3632"/>
    <w:rsid w:val="7A7D4128"/>
    <w:rsid w:val="7A7E70A2"/>
    <w:rsid w:val="7A8075BA"/>
    <w:rsid w:val="7A820760"/>
    <w:rsid w:val="7A87742E"/>
    <w:rsid w:val="7A9123B7"/>
    <w:rsid w:val="7A914B22"/>
    <w:rsid w:val="7A935AE2"/>
    <w:rsid w:val="7A9711EE"/>
    <w:rsid w:val="7A9A1B33"/>
    <w:rsid w:val="7A9B74B6"/>
    <w:rsid w:val="7A9C3E5C"/>
    <w:rsid w:val="7A9D1CEF"/>
    <w:rsid w:val="7AA16CBD"/>
    <w:rsid w:val="7AA23B78"/>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150090"/>
    <w:rsid w:val="7B18546A"/>
    <w:rsid w:val="7B1B467F"/>
    <w:rsid w:val="7B1E73DE"/>
    <w:rsid w:val="7B1F59AA"/>
    <w:rsid w:val="7B214978"/>
    <w:rsid w:val="7B391012"/>
    <w:rsid w:val="7B394905"/>
    <w:rsid w:val="7B3E674E"/>
    <w:rsid w:val="7B426E9D"/>
    <w:rsid w:val="7B471906"/>
    <w:rsid w:val="7B4A5781"/>
    <w:rsid w:val="7B4C03D4"/>
    <w:rsid w:val="7B4E09BF"/>
    <w:rsid w:val="7B527BD9"/>
    <w:rsid w:val="7B546C0C"/>
    <w:rsid w:val="7B603C7C"/>
    <w:rsid w:val="7B6171E6"/>
    <w:rsid w:val="7B6452CE"/>
    <w:rsid w:val="7B65590F"/>
    <w:rsid w:val="7B6E2AB1"/>
    <w:rsid w:val="7B736B52"/>
    <w:rsid w:val="7B771CED"/>
    <w:rsid w:val="7B7C1A5E"/>
    <w:rsid w:val="7B841287"/>
    <w:rsid w:val="7B8D07A1"/>
    <w:rsid w:val="7B8E3D02"/>
    <w:rsid w:val="7B901B0B"/>
    <w:rsid w:val="7B9422CC"/>
    <w:rsid w:val="7B9E7675"/>
    <w:rsid w:val="7BA0581E"/>
    <w:rsid w:val="7BA22D26"/>
    <w:rsid w:val="7BA521BC"/>
    <w:rsid w:val="7BA53B6F"/>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EE6A15"/>
    <w:rsid w:val="7BF11348"/>
    <w:rsid w:val="7BF542FE"/>
    <w:rsid w:val="7BFF0642"/>
    <w:rsid w:val="7C025EFA"/>
    <w:rsid w:val="7C05243A"/>
    <w:rsid w:val="7C056E44"/>
    <w:rsid w:val="7C07400A"/>
    <w:rsid w:val="7C0E7D8C"/>
    <w:rsid w:val="7C206952"/>
    <w:rsid w:val="7C2D1C60"/>
    <w:rsid w:val="7C306953"/>
    <w:rsid w:val="7C3832F5"/>
    <w:rsid w:val="7C42281E"/>
    <w:rsid w:val="7C472DAB"/>
    <w:rsid w:val="7C550FEC"/>
    <w:rsid w:val="7C574C21"/>
    <w:rsid w:val="7C5F4D1F"/>
    <w:rsid w:val="7C610C91"/>
    <w:rsid w:val="7C613AEC"/>
    <w:rsid w:val="7C6271F4"/>
    <w:rsid w:val="7C655448"/>
    <w:rsid w:val="7C6E7E2C"/>
    <w:rsid w:val="7C734075"/>
    <w:rsid w:val="7C7468D9"/>
    <w:rsid w:val="7C764182"/>
    <w:rsid w:val="7C773CA6"/>
    <w:rsid w:val="7C815D2A"/>
    <w:rsid w:val="7C831756"/>
    <w:rsid w:val="7C8348FB"/>
    <w:rsid w:val="7C8C4CAB"/>
    <w:rsid w:val="7C982736"/>
    <w:rsid w:val="7C9A2FA3"/>
    <w:rsid w:val="7C9E5A24"/>
    <w:rsid w:val="7CA3583F"/>
    <w:rsid w:val="7CA67728"/>
    <w:rsid w:val="7CAE3DC3"/>
    <w:rsid w:val="7CAE7576"/>
    <w:rsid w:val="7CB027DF"/>
    <w:rsid w:val="7CB2364E"/>
    <w:rsid w:val="7CB271E9"/>
    <w:rsid w:val="7CB62523"/>
    <w:rsid w:val="7CCA5583"/>
    <w:rsid w:val="7CCE6E72"/>
    <w:rsid w:val="7CCF1812"/>
    <w:rsid w:val="7CD72F9B"/>
    <w:rsid w:val="7CDF394D"/>
    <w:rsid w:val="7CE146B6"/>
    <w:rsid w:val="7CE238A1"/>
    <w:rsid w:val="7CE65C11"/>
    <w:rsid w:val="7CE70935"/>
    <w:rsid w:val="7CE95686"/>
    <w:rsid w:val="7CF31FF6"/>
    <w:rsid w:val="7CF84A31"/>
    <w:rsid w:val="7CFC44C2"/>
    <w:rsid w:val="7CFF1C44"/>
    <w:rsid w:val="7CFF28B4"/>
    <w:rsid w:val="7D013B39"/>
    <w:rsid w:val="7D060FAD"/>
    <w:rsid w:val="7D0826CA"/>
    <w:rsid w:val="7D0D06E5"/>
    <w:rsid w:val="7D130509"/>
    <w:rsid w:val="7D1946C0"/>
    <w:rsid w:val="7D1D7FE9"/>
    <w:rsid w:val="7D1F25D4"/>
    <w:rsid w:val="7D292A41"/>
    <w:rsid w:val="7D2A5CCB"/>
    <w:rsid w:val="7D377B94"/>
    <w:rsid w:val="7D401CAA"/>
    <w:rsid w:val="7D4E195B"/>
    <w:rsid w:val="7D515EFA"/>
    <w:rsid w:val="7D5431B0"/>
    <w:rsid w:val="7D552AEA"/>
    <w:rsid w:val="7D635C6D"/>
    <w:rsid w:val="7D64087E"/>
    <w:rsid w:val="7D642C85"/>
    <w:rsid w:val="7D69117D"/>
    <w:rsid w:val="7D696CB2"/>
    <w:rsid w:val="7D6B4608"/>
    <w:rsid w:val="7D6F06CE"/>
    <w:rsid w:val="7D7A555A"/>
    <w:rsid w:val="7D7F5298"/>
    <w:rsid w:val="7D8362BA"/>
    <w:rsid w:val="7D8B7B11"/>
    <w:rsid w:val="7D9F0F7A"/>
    <w:rsid w:val="7DA843EE"/>
    <w:rsid w:val="7DA948C4"/>
    <w:rsid w:val="7DAB10BD"/>
    <w:rsid w:val="7DAF4AB4"/>
    <w:rsid w:val="7DBA65F9"/>
    <w:rsid w:val="7DBE609A"/>
    <w:rsid w:val="7DBF2E7A"/>
    <w:rsid w:val="7DBF4FA6"/>
    <w:rsid w:val="7DC266E0"/>
    <w:rsid w:val="7DC4279D"/>
    <w:rsid w:val="7DCA054D"/>
    <w:rsid w:val="7DCC7A63"/>
    <w:rsid w:val="7DD7657D"/>
    <w:rsid w:val="7DDA6C39"/>
    <w:rsid w:val="7DE15552"/>
    <w:rsid w:val="7DE16744"/>
    <w:rsid w:val="7DE653AB"/>
    <w:rsid w:val="7DE71438"/>
    <w:rsid w:val="7DEB2C44"/>
    <w:rsid w:val="7DED0633"/>
    <w:rsid w:val="7DF464FC"/>
    <w:rsid w:val="7DFE63E1"/>
    <w:rsid w:val="7E006A11"/>
    <w:rsid w:val="7E043ED9"/>
    <w:rsid w:val="7E104623"/>
    <w:rsid w:val="7E1C55F3"/>
    <w:rsid w:val="7E202566"/>
    <w:rsid w:val="7E222965"/>
    <w:rsid w:val="7E293001"/>
    <w:rsid w:val="7E2D6A9A"/>
    <w:rsid w:val="7E2E7D3F"/>
    <w:rsid w:val="7E2F1D57"/>
    <w:rsid w:val="7E307B7A"/>
    <w:rsid w:val="7E330B2F"/>
    <w:rsid w:val="7E347694"/>
    <w:rsid w:val="7E3B5911"/>
    <w:rsid w:val="7E452536"/>
    <w:rsid w:val="7E495416"/>
    <w:rsid w:val="7E497873"/>
    <w:rsid w:val="7E4A44B6"/>
    <w:rsid w:val="7E4C7986"/>
    <w:rsid w:val="7E523F24"/>
    <w:rsid w:val="7E570488"/>
    <w:rsid w:val="7E573082"/>
    <w:rsid w:val="7E593C4C"/>
    <w:rsid w:val="7E646894"/>
    <w:rsid w:val="7E712F31"/>
    <w:rsid w:val="7E73403B"/>
    <w:rsid w:val="7E750E81"/>
    <w:rsid w:val="7E760C9A"/>
    <w:rsid w:val="7E761EFC"/>
    <w:rsid w:val="7E79060D"/>
    <w:rsid w:val="7E7E2B41"/>
    <w:rsid w:val="7E8D3E75"/>
    <w:rsid w:val="7E9044A6"/>
    <w:rsid w:val="7E922E52"/>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5445C"/>
    <w:rsid w:val="7F4A17F6"/>
    <w:rsid w:val="7F536DE1"/>
    <w:rsid w:val="7F6339F7"/>
    <w:rsid w:val="7F7851E2"/>
    <w:rsid w:val="7F7E49B6"/>
    <w:rsid w:val="7F8403DB"/>
    <w:rsid w:val="7F8660CD"/>
    <w:rsid w:val="7F8A2E2C"/>
    <w:rsid w:val="7F963419"/>
    <w:rsid w:val="7F98528E"/>
    <w:rsid w:val="7FA069EC"/>
    <w:rsid w:val="7FA11DE1"/>
    <w:rsid w:val="7FB351E6"/>
    <w:rsid w:val="7FB422D4"/>
    <w:rsid w:val="7FB73496"/>
    <w:rsid w:val="7FCE5F2D"/>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80"/>
    <w:unhideWhenUsed/>
    <w:qFormat/>
    <w:uiPriority w:val="99"/>
    <w:rPr>
      <w:sz w:val="18"/>
      <w:szCs w:val="18"/>
    </w:rPr>
  </w:style>
  <w:style w:type="paragraph" w:styleId="17">
    <w:name w:val="footer"/>
    <w:basedOn w:val="1"/>
    <w:link w:val="86"/>
    <w:unhideWhenUsed/>
    <w:qFormat/>
    <w:uiPriority w:val="99"/>
    <w:pPr>
      <w:tabs>
        <w:tab w:val="center" w:pos="4153"/>
        <w:tab w:val="right" w:pos="8306"/>
      </w:tabs>
      <w:jc w:val="left"/>
    </w:pPr>
  </w:style>
  <w:style w:type="paragraph" w:styleId="18">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7"/>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3"/>
    <w:qFormat/>
    <w:uiPriority w:val="99"/>
    <w:rPr>
      <w:b/>
    </w:rPr>
  </w:style>
  <w:style w:type="paragraph" w:customStyle="1" w:styleId="38">
    <w:name w:val="TAC"/>
    <w:basedOn w:val="39"/>
    <w:link w:val="78"/>
    <w:qFormat/>
    <w:uiPriority w:val="0"/>
    <w:pPr>
      <w:jc w:val="center"/>
    </w:pPr>
    <w:rPr>
      <w:rFonts w:eastAsia="Times New Roman"/>
      <w:lang w:eastAsia="ja-JP"/>
    </w:rPr>
  </w:style>
  <w:style w:type="paragraph" w:customStyle="1" w:styleId="39">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4"/>
    <w:qFormat/>
    <w:uiPriority w:val="0"/>
    <w:pPr>
      <w:adjustRightInd w:val="0"/>
      <w:spacing w:after="180"/>
    </w:pPr>
    <w:rPr>
      <w:kern w:val="0"/>
      <w:sz w:val="20"/>
      <w:szCs w:val="20"/>
    </w:rPr>
  </w:style>
  <w:style w:type="paragraph" w:customStyle="1" w:styleId="41">
    <w:name w:val="char char char"/>
    <w:basedOn w:val="40"/>
    <w:link w:val="81"/>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48"/>
    <w:next w:val="48"/>
    <w:link w:val="76"/>
    <w:qFormat/>
    <w:uiPriority w:val="0"/>
    <w:pPr>
      <w:keepNext/>
      <w:keepLines/>
      <w:widowControl/>
      <w:overflowPunct w:val="0"/>
      <w:autoSpaceDE w:val="0"/>
      <w:autoSpaceDN w:val="0"/>
      <w:adjustRightInd w:val="0"/>
      <w:spacing w:before="60" w:after="180"/>
      <w:jc w:val="center"/>
      <w:textAlignment w:val="baseline"/>
    </w:pPr>
    <w:rPr>
      <w:rFonts w:ascii="Arial" w:hAnsi="Arial"/>
      <w:bCs/>
      <w:kern w:val="0"/>
      <w:sz w:val="20"/>
      <w:szCs w:val="20"/>
      <w:lang w:val="en-GB"/>
    </w:rPr>
  </w:style>
  <w:style w:type="paragraph" w:customStyle="1" w:styleId="4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7"/>
    <w:qFormat/>
    <w:uiPriority w:val="0"/>
    <w:pPr>
      <w:keepNext w:val="0"/>
      <w:spacing w:before="0" w:after="240"/>
    </w:pPr>
  </w:style>
  <w:style w:type="paragraph" w:customStyle="1" w:styleId="53">
    <w:name w:val="B1"/>
    <w:basedOn w:val="19"/>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0"/>
    <w:link w:val="73"/>
    <w:qFormat/>
    <w:uiPriority w:val="0"/>
    <w:pPr>
      <w:spacing w:before="180" w:after="120"/>
      <w:outlineLvl w:val="1"/>
    </w:pPr>
    <w:rPr>
      <w:rFonts w:ascii="Arial" w:hAnsi="Arial"/>
      <w:sz w:val="28"/>
      <w:szCs w:val="32"/>
    </w:rPr>
  </w:style>
  <w:style w:type="paragraph" w:customStyle="1" w:styleId="58">
    <w:name w:val="Char"/>
    <w:basedOn w:val="36"/>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3"/>
    <w:qFormat/>
    <w:uiPriority w:val="0"/>
    <w:rPr>
      <w:rFonts w:ascii="Times New Roman" w:hAnsi="Times New Roman" w:eastAsia="Times New Roman"/>
      <w:lang w:val="en-GB"/>
    </w:rPr>
  </w:style>
  <w:style w:type="character" w:customStyle="1" w:styleId="63">
    <w:name w:val="TAH Car"/>
    <w:link w:val="37"/>
    <w:qFormat/>
    <w:uiPriority w:val="99"/>
    <w:rPr>
      <w:rFonts w:ascii="Arial" w:hAnsi="Arial" w:eastAsia="Times New Roman" w:cs="Times New Roman"/>
      <w:b/>
      <w:kern w:val="0"/>
      <w:sz w:val="18"/>
      <w:szCs w:val="20"/>
      <w:lang w:val="en-GB" w:eastAsia="ja-JP"/>
    </w:rPr>
  </w:style>
  <w:style w:type="character" w:customStyle="1" w:styleId="64">
    <w:name w:val="正文1 Char"/>
    <w:link w:val="40"/>
    <w:qFormat/>
    <w:uiPriority w:val="0"/>
    <w:rPr>
      <w:rFonts w:ascii="Times New Roman" w:hAnsi="Times New Roman" w:eastAsia="宋体" w:cs="Times New Roman"/>
      <w:kern w:val="0"/>
      <w:sz w:val="20"/>
      <w:szCs w:val="20"/>
    </w:rPr>
  </w:style>
  <w:style w:type="character" w:customStyle="1" w:styleId="65">
    <w:name w:val="keyword"/>
    <w:basedOn w:val="27"/>
    <w:qFormat/>
    <w:uiPriority w:val="0"/>
  </w:style>
  <w:style w:type="character" w:customStyle="1" w:styleId="66">
    <w:name w:val="c-icon"/>
    <w:basedOn w:val="27"/>
    <w:qFormat/>
    <w:uiPriority w:val="0"/>
  </w:style>
  <w:style w:type="character" w:customStyle="1" w:styleId="67">
    <w:name w:val="TAL Char"/>
    <w:link w:val="39"/>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7"/>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7"/>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7"/>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7"/>
    <w:link w:val="38"/>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6"/>
    <w:semiHidden/>
    <w:qFormat/>
    <w:uiPriority w:val="99"/>
    <w:rPr>
      <w:kern w:val="2"/>
      <w:sz w:val="18"/>
      <w:szCs w:val="18"/>
    </w:rPr>
  </w:style>
  <w:style w:type="character" w:customStyle="1" w:styleId="81">
    <w:name w:val="char char char Char"/>
    <w:link w:val="41"/>
    <w:qFormat/>
    <w:uiPriority w:val="0"/>
    <w:rPr>
      <w:rFonts w:ascii="Arial" w:hAnsi="Arial" w:eastAsia="宋体" w:cs="Times New Roman"/>
      <w:kern w:val="0"/>
      <w:sz w:val="24"/>
      <w:szCs w:val="28"/>
    </w:rPr>
  </w:style>
  <w:style w:type="character" w:customStyle="1" w:styleId="82">
    <w:name w:val="页眉 字符"/>
    <w:link w:val="18"/>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7"/>
    <w:qFormat/>
    <w:uiPriority w:val="99"/>
    <w:rPr>
      <w:sz w:val="18"/>
      <w:szCs w:val="18"/>
    </w:rPr>
  </w:style>
  <w:style w:type="character" w:customStyle="1" w:styleId="87">
    <w:name w:val="批注主题 字符"/>
    <w:link w:val="24"/>
    <w:semiHidden/>
    <w:qFormat/>
    <w:uiPriority w:val="99"/>
    <w:rPr>
      <w:b/>
      <w:bCs/>
      <w:kern w:val="2"/>
      <w:lang w:eastAsia="zh-CN"/>
    </w:rPr>
  </w:style>
  <w:style w:type="character" w:customStyle="1" w:styleId="88">
    <w:name w:val="msoins"/>
    <w:basedOn w:val="27"/>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7"/>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7"/>
    <w:qFormat/>
    <w:uiPriority w:val="0"/>
  </w:style>
  <w:style w:type="character" w:customStyle="1" w:styleId="98">
    <w:name w:val="href"/>
    <w:basedOn w:val="27"/>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7"/>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5"/>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2024-10-07T11:35:30Z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